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40"/>
        <w:ind w:hanging="0" w:left="0" w:right="0"/>
        <w:jc w:val="center"/>
        <w:rPr>
          <w:rFonts w:ascii="Verdana" w:hAnsi="Verdana"/>
          <w:sz w:val="22"/>
          <w:szCs w:val="22"/>
        </w:rPr>
      </w:pPr>
      <w:r>
        <w:rPr>
          <w:rFonts w:ascii="Verdana" w:hAnsi="Verdana"/>
          <w:sz w:val="22"/>
          <w:szCs w:val="22"/>
        </w:rPr>
      </w:r>
    </w:p>
    <w:p>
      <w:pPr>
        <w:pStyle w:val="Normal"/>
        <w:suppressAutoHyphens w:val="false"/>
        <w:spacing w:lineRule="auto" w:line="240"/>
        <w:ind w:hanging="0" w:left="0" w:right="0"/>
        <w:jc w:val="center"/>
        <w:rPr>
          <w:rFonts w:ascii="Verdana" w:hAnsi="Verdana"/>
          <w:sz w:val="22"/>
          <w:szCs w:val="22"/>
        </w:rPr>
      </w:pPr>
      <w:r>
        <w:rPr>
          <w:rFonts w:cs="Arial" w:ascii="Verdana" w:hAnsi="Verdana"/>
          <w:b/>
          <w:bCs/>
          <w:color w:val="000000"/>
          <w:sz w:val="22"/>
          <w:szCs w:val="22"/>
          <w:u w:val="none"/>
        </w:rPr>
        <w:t xml:space="preserve">TERMO DE REFERÊNCIA  - LEI 14.133/21  de 01 de abril de </w:t>
      </w:r>
    </w:p>
    <w:p>
      <w:pPr>
        <w:pStyle w:val="Normal"/>
        <w:spacing w:lineRule="auto" w:line="240"/>
        <w:jc w:val="center"/>
        <w:rPr>
          <w:rFonts w:ascii="Verdana" w:hAnsi="Verdana"/>
          <w:sz w:val="22"/>
          <w:szCs w:val="22"/>
        </w:rPr>
      </w:pPr>
      <w:r>
        <w:rPr>
          <w:rFonts w:cs="Arial" w:ascii="Verdana" w:hAnsi="Verdana"/>
          <w:b/>
          <w:bCs/>
          <w:color w:val="000000"/>
          <w:sz w:val="22"/>
          <w:szCs w:val="22"/>
          <w:u w:val="none"/>
        </w:rPr>
        <w:t>2021</w:t>
      </w:r>
    </w:p>
    <w:p>
      <w:pPr>
        <w:pStyle w:val="Normal"/>
        <w:spacing w:lineRule="auto" w:line="240"/>
        <w:jc w:val="center"/>
        <w:rPr>
          <w:rFonts w:ascii="Verdana" w:hAnsi="Verdana" w:cs="Arial"/>
          <w:b/>
          <w:sz w:val="22"/>
          <w:szCs w:val="22"/>
          <w:u w:val="none"/>
        </w:rPr>
      </w:pPr>
      <w:r>
        <w:rPr>
          <w:rFonts w:cs="Arial" w:ascii="Verdana" w:hAnsi="Verdana"/>
          <w:b/>
          <w:sz w:val="22"/>
          <w:szCs w:val="22"/>
          <w:u w:val="none"/>
        </w:rPr>
      </w:r>
    </w:p>
    <w:p>
      <w:pPr>
        <w:pStyle w:val="Normal"/>
        <w:bidi w:val="0"/>
        <w:spacing w:lineRule="auto" w:line="276" w:before="120" w:after="120"/>
        <w:jc w:val="center"/>
        <w:rPr>
          <w:rFonts w:ascii="Verdana" w:hAnsi="Verdana"/>
          <w:sz w:val="22"/>
          <w:szCs w:val="22"/>
        </w:rPr>
      </w:pPr>
      <w:r>
        <w:rPr>
          <w:rFonts w:cs="Arial" w:ascii="Verdana" w:hAnsi="Verdana"/>
          <w:b/>
          <w:i/>
          <w:strike w:val="false"/>
          <w:dstrike w:val="false"/>
          <w:outline w:val="false"/>
          <w:shadow w:val="false"/>
          <w:sz w:val="22"/>
          <w:szCs w:val="22"/>
          <w:u w:val="none"/>
          <w:em w:val="none"/>
        </w:rPr>
        <w:t>INSTALA</w:t>
      </w:r>
      <w:r>
        <w:rPr>
          <w:rFonts w:ascii="Verdana" w:hAnsi="Verdana"/>
          <w:b/>
          <w:i/>
          <w:strike w:val="false"/>
          <w:dstrike w:val="false"/>
          <w:outline w:val="false"/>
          <w:shadow w:val="false"/>
          <w:sz w:val="22"/>
          <w:szCs w:val="22"/>
          <w:u w:val="none"/>
          <w:em w:val="none"/>
        </w:rPr>
        <w:t>ÇÃO DE CORRIMÃO, GUARDA-CORPO E PROTEÇÃO CONTRA INCÊNDIO NA CÂMARA MUNICIPAL DE SÃO GABRIEL DA PALHA</w:t>
      </w:r>
    </w:p>
    <w:p>
      <w:pPr>
        <w:pStyle w:val="Normal"/>
        <w:spacing w:lineRule="auto" w:line="276" w:before="120" w:after="120"/>
        <w:rPr>
          <w:rFonts w:ascii="Verdana" w:hAnsi="Verdana" w:cs="Arial"/>
          <w:b/>
          <w:sz w:val="22"/>
          <w:szCs w:val="22"/>
          <w:u w:val="none"/>
        </w:rPr>
      </w:pPr>
      <w:r>
        <w:rPr>
          <w:rFonts w:cs="Arial" w:ascii="Verdana" w:hAnsi="Verdana"/>
          <w:b/>
          <w:sz w:val="22"/>
          <w:szCs w:val="22"/>
          <w:u w:val="none"/>
        </w:rPr>
      </w:r>
    </w:p>
    <w:p>
      <w:pPr>
        <w:pStyle w:val="Normal"/>
        <w:spacing w:lineRule="auto" w:line="240"/>
        <w:jc w:val="center"/>
        <w:rPr>
          <w:rFonts w:ascii="Verdana" w:hAnsi="Verdana"/>
          <w:sz w:val="22"/>
          <w:szCs w:val="22"/>
        </w:rPr>
      </w:pPr>
      <w:r>
        <w:rPr>
          <w:rFonts w:cs="Arial" w:ascii="Verdana" w:hAnsi="Verdana"/>
          <w:b/>
          <w:bCs/>
          <w:iCs/>
          <w:color w:val="000000"/>
          <w:sz w:val="22"/>
          <w:szCs w:val="22"/>
          <w:u w:val="none"/>
        </w:rPr>
        <w:t xml:space="preserve">Processo Administrativo nº </w:t>
      </w:r>
      <w:r>
        <w:rPr>
          <w:rFonts w:eastAsia="Times New Roman" w:cs="Times New Roman" w:ascii="Verdana" w:hAnsi="Verdana"/>
          <w:b/>
          <w:bCs/>
          <w:iCs/>
          <w:color w:val="000000"/>
          <w:sz w:val="22"/>
          <w:szCs w:val="22"/>
          <w:u w:val="none"/>
        </w:rPr>
        <w:t>005167</w:t>
      </w:r>
      <w:r>
        <w:rPr>
          <w:rFonts w:cs="Arial" w:ascii="Verdana" w:hAnsi="Verdana"/>
          <w:b/>
          <w:bCs/>
          <w:iCs/>
          <w:color w:val="000000"/>
          <w:sz w:val="22"/>
          <w:szCs w:val="22"/>
          <w:u w:val="none"/>
        </w:rPr>
        <w:t xml:space="preserve">/2025 de 14 de </w:t>
      </w:r>
      <w:r>
        <w:rPr>
          <w:rFonts w:eastAsia="Times New Roman" w:cs="Arial" w:ascii="Verdana" w:hAnsi="Verdana"/>
          <w:b/>
          <w:bCs/>
          <w:iCs/>
          <w:color w:val="000000"/>
          <w:sz w:val="22"/>
          <w:szCs w:val="22"/>
          <w:u w:val="none"/>
        </w:rPr>
        <w:t>julho</w:t>
      </w:r>
      <w:r>
        <w:rPr>
          <w:rFonts w:cs="Arial" w:ascii="Verdana" w:hAnsi="Verdana"/>
          <w:b/>
          <w:bCs/>
          <w:iCs/>
          <w:color w:val="000000"/>
          <w:sz w:val="22"/>
          <w:szCs w:val="22"/>
          <w:u w:val="none"/>
        </w:rPr>
        <w:t xml:space="preserve"> de 2025 (</w:t>
      </w:r>
      <w:r>
        <w:rPr>
          <w:rFonts w:eastAsia="Times New Roman" w:cs="Arial" w:ascii="Verdana" w:hAnsi="Verdana"/>
          <w:b/>
          <w:bCs/>
          <w:iCs/>
          <w:color w:val="000000"/>
          <w:sz w:val="22"/>
          <w:szCs w:val="22"/>
          <w:u w:val="none"/>
        </w:rPr>
        <w:t>Secretaria Municipal de Administração</w:t>
      </w:r>
      <w:r>
        <w:rPr>
          <w:rFonts w:cs="Arial" w:ascii="Verdana" w:hAnsi="Verdana"/>
          <w:b/>
          <w:bCs/>
          <w:iCs/>
          <w:color w:val="000000"/>
          <w:sz w:val="22"/>
          <w:szCs w:val="22"/>
          <w:u w:val="none"/>
        </w:rPr>
        <w:t>)</w:t>
      </w:r>
    </w:p>
    <w:p>
      <w:pPr>
        <w:pStyle w:val="Normal"/>
        <w:spacing w:lineRule="auto" w:line="240"/>
        <w:jc w:val="center"/>
        <w:rPr>
          <w:rFonts w:ascii="Verdana" w:hAnsi="Verdana" w:cs="Arial"/>
          <w:b/>
          <w:bCs/>
          <w:iCs/>
          <w:color w:val="000000"/>
          <w:sz w:val="22"/>
          <w:szCs w:val="22"/>
          <w:u w:val="none"/>
        </w:rPr>
      </w:pPr>
      <w:r>
        <w:rPr>
          <w:rFonts w:cs="Arial" w:ascii="Verdana" w:hAnsi="Verdana"/>
          <w:b/>
          <w:bCs/>
          <w:iCs/>
          <w:color w:val="000000"/>
          <w:sz w:val="22"/>
          <w:szCs w:val="22"/>
          <w:u w:val="none"/>
        </w:rPr>
      </w:r>
    </w:p>
    <w:p>
      <w:pPr>
        <w:pStyle w:val="Normal"/>
        <w:spacing w:lineRule="auto" w:line="240"/>
        <w:jc w:val="center"/>
        <w:rPr>
          <w:rFonts w:ascii="Verdana" w:hAnsi="Verdana" w:cs="Arial"/>
          <w:b/>
          <w:sz w:val="22"/>
          <w:szCs w:val="22"/>
          <w:u w:val="none"/>
        </w:rPr>
      </w:pPr>
      <w:r>
        <w:rPr>
          <w:rFonts w:cs="Arial" w:ascii="Verdana" w:hAnsi="Verdana"/>
          <w:b/>
          <w:sz w:val="22"/>
          <w:szCs w:val="22"/>
          <w:u w:val="none"/>
        </w:rPr>
      </w:r>
    </w:p>
    <w:p>
      <w:pPr>
        <w:pStyle w:val="Normal"/>
        <w:spacing w:lineRule="auto" w:line="360"/>
        <w:ind w:hanging="0" w:left="0" w:right="0"/>
        <w:jc w:val="both"/>
        <w:rPr>
          <w:rFonts w:ascii="Verdana" w:hAnsi="Verdana"/>
          <w:sz w:val="22"/>
          <w:szCs w:val="22"/>
        </w:rPr>
      </w:pPr>
      <w:r>
        <w:rPr>
          <w:rFonts w:ascii="Verdana" w:hAnsi="Verdana"/>
          <w:b/>
          <w:bCs/>
          <w:sz w:val="22"/>
          <w:szCs w:val="22"/>
        </w:rPr>
        <w:t xml:space="preserve">1. DAS CONDIÇÕES GERAIS DA CONTRATAÇÃO </w:t>
      </w:r>
    </w:p>
    <w:p>
      <w:pPr>
        <w:pStyle w:val="Normal"/>
        <w:tabs>
          <w:tab w:val="clear" w:pos="708"/>
          <w:tab w:val="left" w:pos="567" w:leader="none"/>
        </w:tabs>
        <w:spacing w:lineRule="auto" w:line="360"/>
        <w:ind w:hanging="0" w:left="0" w:right="0"/>
        <w:jc w:val="both"/>
        <w:rPr/>
      </w:pPr>
      <w:r>
        <w:rPr>
          <w:rFonts w:ascii="Verdana" w:hAnsi="Verdana"/>
          <w:b w:val="false"/>
          <w:bCs w:val="false"/>
          <w:sz w:val="22"/>
          <w:szCs w:val="22"/>
        </w:rPr>
        <w:t xml:space="preserve">1.1. </w:t>
      </w:r>
      <w:r>
        <w:rPr>
          <w:rFonts w:cs="Arial" w:ascii="Verdana" w:hAnsi="Verdana"/>
          <w:b w:val="false"/>
          <w:bCs w:val="false"/>
          <w:sz w:val="22"/>
          <w:szCs w:val="22"/>
        </w:rPr>
        <w:t>Contratação de empresa especializada (</w:t>
      </w:r>
      <w:r>
        <w:rPr>
          <w:rFonts w:cs="Arial" w:ascii="Verdana" w:hAnsi="Verdana"/>
          <w:b w:val="false"/>
          <w:bCs w:val="false"/>
          <w:color w:val="000000"/>
          <w:sz w:val="22"/>
          <w:szCs w:val="22"/>
        </w:rPr>
        <w:t>com locomoção e mão de obra necessária para a execução dos serviços, haja vista que a Municipalidade não dispõe de mão de obra e equipamentos em quantidade e com qualificação adequada para executar a obra)</w:t>
      </w:r>
      <w:r>
        <w:rPr>
          <w:rFonts w:cs="Arial" w:ascii="Verdana" w:hAnsi="Verdana"/>
          <w:b/>
          <w:bCs w:val="false"/>
          <w:sz w:val="22"/>
          <w:szCs w:val="22"/>
        </w:rPr>
        <w:t>, por meio de licitação</w:t>
      </w:r>
      <w:r>
        <w:rPr>
          <w:rFonts w:cs="Arial" w:ascii="Verdana" w:hAnsi="Verdana"/>
          <w:b w:val="false"/>
          <w:bCs w:val="false"/>
          <w:sz w:val="22"/>
          <w:szCs w:val="22"/>
        </w:rPr>
        <w:t>, para prestação de serviços na construção</w:t>
      </w:r>
      <w:r>
        <w:rPr>
          <w:rFonts w:eastAsia="Arial" w:cs="Arial" w:ascii="Verdana" w:hAnsi="Verdana"/>
          <w:b w:val="false"/>
          <w:bCs w:val="false"/>
          <w:color w:val="000000"/>
          <w:kern w:val="0"/>
          <w:sz w:val="22"/>
          <w:szCs w:val="22"/>
          <w:shd w:fill="auto" w:val="clear"/>
          <w:lang w:val="pt-BR" w:eastAsia="pt-BR" w:bidi="ar-SA"/>
        </w:rPr>
        <w:t xml:space="preserve"> e </w:t>
      </w:r>
      <w:r>
        <w:rPr>
          <w:rFonts w:eastAsia="Times New Roman" w:cs="Arial" w:ascii="Verdana" w:hAnsi="Verdana"/>
          <w:b w:val="false"/>
          <w:bCs w:val="false"/>
          <w:color w:val="000000"/>
          <w:kern w:val="0"/>
          <w:sz w:val="22"/>
          <w:szCs w:val="22"/>
          <w:shd w:fill="auto" w:val="clear"/>
          <w:lang w:val="pt-BR" w:eastAsia="pt-BR" w:bidi="ar-SA"/>
        </w:rPr>
        <w:t>instalação de corrimão, guarda-corpo e proteção contra incêndio na Câmara Municipal de São Gabriel da Palha-ES</w:t>
      </w:r>
      <w:r>
        <w:rPr>
          <w:rFonts w:eastAsia="Arial" w:cs="Arial" w:ascii="Verdana" w:hAnsi="Verdana"/>
          <w:b w:val="false"/>
          <w:bCs w:val="false"/>
          <w:color w:val="auto"/>
          <w:kern w:val="0"/>
          <w:sz w:val="22"/>
          <w:szCs w:val="22"/>
          <w:lang w:val="pt-BR" w:eastAsia="zh-CN" w:bidi="ar-SA"/>
        </w:rPr>
        <w:t>, no Município de São Gabriel da Palha-ES</w:t>
      </w:r>
      <w:r>
        <w:rPr>
          <w:rFonts w:eastAsia="Times New Roman" w:cs="Arial" w:ascii="Verdana" w:hAnsi="Verdana"/>
          <w:b w:val="false"/>
          <w:bCs w:val="false"/>
          <w:color w:val="auto"/>
          <w:kern w:val="0"/>
          <w:sz w:val="22"/>
          <w:szCs w:val="22"/>
          <w:lang w:val="pt-BR" w:eastAsia="zh-CN" w:bidi="ar-SA"/>
        </w:rPr>
        <w:t>.</w:t>
      </w:r>
      <w:r>
        <w:rPr>
          <w:rFonts w:eastAsia="Times New Roman" w:cs="Times New Roman" w:ascii="Verdana" w:hAnsi="Verdana"/>
          <w:b w:val="false"/>
          <w:bCs w:val="false"/>
          <w:sz w:val="22"/>
          <w:szCs w:val="22"/>
        </w:rPr>
        <w:t xml:space="preserve"> A presente demanda refere-se à </w:t>
      </w:r>
      <w:r>
        <w:rPr>
          <w:rStyle w:val="Strong"/>
          <w:rFonts w:eastAsia="Times New Roman" w:cs="Times New Roman" w:ascii="Verdana" w:hAnsi="Verdana"/>
          <w:b w:val="false"/>
          <w:bCs w:val="false"/>
          <w:sz w:val="22"/>
          <w:szCs w:val="22"/>
        </w:rPr>
        <w:t>necessidade de dar continuidade à obra de reforma e ampliação da Câmara Municipal de São Gabriel da Palha</w:t>
      </w:r>
      <w:r>
        <w:rPr>
          <w:rFonts w:eastAsia="Times New Roman" w:cs="Times New Roman" w:ascii="Verdana" w:hAnsi="Verdana"/>
          <w:b w:val="false"/>
          <w:bCs w:val="false"/>
          <w:sz w:val="22"/>
          <w:szCs w:val="22"/>
        </w:rPr>
        <w:t xml:space="preserve">, tendo em vista que a execução atual não será suficiente para o cumprimento integral das normas técnicas estabelecidas pelo </w:t>
      </w:r>
      <w:r>
        <w:rPr>
          <w:rStyle w:val="Strong"/>
          <w:rFonts w:eastAsia="Times New Roman" w:cs="Times New Roman" w:ascii="Verdana" w:hAnsi="Verdana"/>
          <w:b w:val="false"/>
          <w:bCs w:val="false"/>
          <w:sz w:val="22"/>
          <w:szCs w:val="22"/>
        </w:rPr>
        <w:t>Corpo de Bombeiros Militar do Espírito Santo (CBMES)</w:t>
      </w:r>
      <w:r>
        <w:rPr>
          <w:rFonts w:eastAsia="Times New Roman" w:cs="Times New Roman" w:ascii="Verdana" w:hAnsi="Verdana"/>
          <w:b w:val="false"/>
          <w:bCs w:val="false"/>
          <w:sz w:val="22"/>
          <w:szCs w:val="22"/>
        </w:rPr>
        <w:t>, órgão responsável pela vistoria e emissão do alvará de funcionamento, conforme descrições detalhadas constantes no memorial descritivo, nos projetos, memórias de cálculos e planilha</w:t>
      </w:r>
      <w:r>
        <w:rPr>
          <w:rFonts w:eastAsia="Times New Roman" w:cs="Times New Roman" w:ascii="Verdana" w:hAnsi="Verdana"/>
          <w:sz w:val="22"/>
          <w:szCs w:val="22"/>
        </w:rPr>
        <w:t>s, anexo nos autos.</w:t>
      </w:r>
    </w:p>
    <w:p>
      <w:pPr>
        <w:pStyle w:val="Normal"/>
        <w:tabs>
          <w:tab w:val="clear" w:pos="708"/>
          <w:tab w:val="left" w:pos="567" w:leader="none"/>
        </w:tabs>
        <w:spacing w:lineRule="auto" w:line="360"/>
        <w:ind w:hanging="0" w:left="0" w:right="0"/>
        <w:jc w:val="both"/>
        <w:rPr>
          <w:rFonts w:ascii="Verdana" w:hAnsi="Verdana" w:cs="Arial"/>
          <w:b/>
          <w:sz w:val="22"/>
          <w:szCs w:val="22"/>
          <w:u w:val="single"/>
        </w:rPr>
      </w:pPr>
      <w:r>
        <w:rPr>
          <w:rFonts w:cs="Arial" w:ascii="Verdana" w:hAnsi="Verdana"/>
          <w:b/>
          <w:sz w:val="22"/>
          <w:szCs w:val="22"/>
          <w:u w:val="single"/>
        </w:rPr>
      </w:r>
    </w:p>
    <w:tbl>
      <w:tblPr>
        <w:tblW w:w="9700" w:type="dxa"/>
        <w:jc w:val="left"/>
        <w:tblInd w:w="18" w:type="dxa"/>
        <w:tblLayout w:type="fixed"/>
        <w:tblCellMar>
          <w:top w:w="0" w:type="dxa"/>
          <w:left w:w="108" w:type="dxa"/>
          <w:bottom w:w="0" w:type="dxa"/>
          <w:right w:w="108" w:type="dxa"/>
        </w:tblCellMar>
      </w:tblPr>
      <w:tblGrid>
        <w:gridCol w:w="860"/>
        <w:gridCol w:w="3897"/>
        <w:gridCol w:w="1187"/>
        <w:gridCol w:w="1481"/>
        <w:gridCol w:w="2275"/>
      </w:tblGrid>
      <w:tr>
        <w:trPr/>
        <w:tc>
          <w:tcPr>
            <w:tcW w:w="86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360"/>
              <w:jc w:val="center"/>
              <w:rPr>
                <w:rFonts w:ascii="Verdana" w:hAnsi="Verdana"/>
                <w:sz w:val="22"/>
                <w:szCs w:val="22"/>
              </w:rPr>
            </w:pPr>
            <w:r>
              <w:rPr>
                <w:rFonts w:eastAsia="Times New Roman" w:cs="Times New Roman" w:ascii="Verdana" w:hAnsi="Verdana"/>
                <w:b/>
                <w:bCs/>
                <w:sz w:val="22"/>
                <w:szCs w:val="22"/>
              </w:rPr>
              <w:t>ITEM</w:t>
            </w:r>
          </w:p>
        </w:tc>
        <w:tc>
          <w:tcPr>
            <w:tcW w:w="389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360"/>
              <w:jc w:val="center"/>
              <w:rPr>
                <w:rFonts w:ascii="Verdana" w:hAnsi="Verdana"/>
                <w:sz w:val="22"/>
                <w:szCs w:val="22"/>
              </w:rPr>
            </w:pPr>
            <w:r>
              <w:rPr>
                <w:rFonts w:ascii="Verdana" w:hAnsi="Verdana"/>
                <w:b/>
                <w:bCs/>
                <w:sz w:val="22"/>
                <w:szCs w:val="22"/>
              </w:rPr>
              <w:t>ESPECIFICAÇÃO</w:t>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360"/>
              <w:jc w:val="center"/>
              <w:rPr>
                <w:rFonts w:ascii="Verdana" w:hAnsi="Verdana"/>
                <w:sz w:val="22"/>
                <w:szCs w:val="22"/>
              </w:rPr>
            </w:pPr>
            <w:r>
              <w:rPr>
                <w:rFonts w:ascii="Verdana" w:hAnsi="Verdana"/>
                <w:b/>
                <w:bCs/>
                <w:sz w:val="22"/>
                <w:szCs w:val="22"/>
              </w:rPr>
              <w:t>UND.</w:t>
            </w:r>
          </w:p>
        </w:tc>
        <w:tc>
          <w:tcPr>
            <w:tcW w:w="148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360"/>
              <w:jc w:val="center"/>
              <w:rPr>
                <w:rFonts w:ascii="Verdana" w:hAnsi="Verdana"/>
                <w:sz w:val="22"/>
                <w:szCs w:val="22"/>
              </w:rPr>
            </w:pPr>
            <w:r>
              <w:rPr>
                <w:rFonts w:eastAsia="Times New Roman" w:cs="Times New Roman" w:ascii="Verdana" w:hAnsi="Verdana"/>
                <w:b/>
                <w:bCs/>
                <w:color w:val="auto"/>
                <w:kern w:val="0"/>
                <w:sz w:val="22"/>
                <w:szCs w:val="22"/>
                <w:lang w:val="pt-BR" w:eastAsia="pt-BR" w:bidi="ar-SA"/>
              </w:rPr>
              <w:t>QUANT.</w:t>
            </w:r>
          </w:p>
        </w:tc>
        <w:tc>
          <w:tcPr>
            <w:tcW w:w="2275"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360"/>
              <w:jc w:val="center"/>
              <w:rPr>
                <w:rFonts w:ascii="Verdana" w:hAnsi="Verdana"/>
                <w:sz w:val="22"/>
                <w:szCs w:val="22"/>
              </w:rPr>
            </w:pPr>
            <w:r>
              <w:rPr>
                <w:rFonts w:ascii="Verdana" w:hAnsi="Verdana"/>
                <w:b/>
                <w:bCs/>
                <w:sz w:val="22"/>
                <w:szCs w:val="22"/>
              </w:rPr>
              <w:t>VALOR TOTAL</w:t>
            </w:r>
          </w:p>
        </w:tc>
      </w:tr>
      <w:tr>
        <w:trPr/>
        <w:tc>
          <w:tcPr>
            <w:tcW w:w="86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s>
              <w:spacing w:lineRule="auto" w:line="360" w:before="0" w:after="0"/>
              <w:jc w:val="both"/>
              <w:rPr>
                <w:rFonts w:ascii="Verdana" w:hAnsi="Verdana"/>
                <w:sz w:val="22"/>
                <w:szCs w:val="22"/>
              </w:rPr>
            </w:pPr>
            <w:r>
              <w:rPr>
                <w:rFonts w:ascii="Verdana" w:hAnsi="Verdana"/>
                <w:sz w:val="22"/>
                <w:szCs w:val="22"/>
              </w:rPr>
            </w:r>
          </w:p>
          <w:p>
            <w:pPr>
              <w:pStyle w:val="Normal"/>
              <w:widowControl w:val="false"/>
              <w:tabs>
                <w:tab w:val="clear" w:pos="708"/>
              </w:tabs>
              <w:spacing w:lineRule="auto" w:line="360"/>
              <w:jc w:val="center"/>
              <w:rPr>
                <w:rFonts w:ascii="Verdana" w:hAnsi="Verdana"/>
                <w:sz w:val="22"/>
                <w:szCs w:val="22"/>
              </w:rPr>
            </w:pPr>
            <w:r>
              <w:rPr>
                <w:rFonts w:ascii="Verdana" w:hAnsi="Verdana"/>
                <w:sz w:val="22"/>
                <w:szCs w:val="22"/>
              </w:rPr>
            </w:r>
          </w:p>
          <w:p>
            <w:pPr>
              <w:pStyle w:val="Normal"/>
              <w:widowControl w:val="false"/>
              <w:tabs>
                <w:tab w:val="clear" w:pos="708"/>
              </w:tabs>
              <w:spacing w:lineRule="auto" w:line="360"/>
              <w:jc w:val="center"/>
              <w:rPr>
                <w:rFonts w:ascii="Verdana" w:hAnsi="Verdana"/>
                <w:sz w:val="22"/>
                <w:szCs w:val="22"/>
              </w:rPr>
            </w:pPr>
            <w:r>
              <w:rPr>
                <w:rFonts w:ascii="Verdana" w:hAnsi="Verdana"/>
                <w:sz w:val="22"/>
                <w:szCs w:val="22"/>
              </w:rPr>
            </w:r>
          </w:p>
          <w:p>
            <w:pPr>
              <w:pStyle w:val="Normal"/>
              <w:widowControl w:val="false"/>
              <w:tabs>
                <w:tab w:val="clear" w:pos="708"/>
              </w:tabs>
              <w:spacing w:lineRule="auto" w:line="360"/>
              <w:jc w:val="center"/>
              <w:rPr>
                <w:rFonts w:ascii="Verdana" w:hAnsi="Verdana"/>
                <w:sz w:val="22"/>
                <w:szCs w:val="22"/>
              </w:rPr>
            </w:pPr>
            <w:r>
              <w:rPr>
                <w:rFonts w:ascii="Verdana" w:hAnsi="Verdana"/>
                <w:sz w:val="22"/>
                <w:szCs w:val="22"/>
              </w:rPr>
              <w:t>01</w:t>
            </w:r>
          </w:p>
        </w:tc>
        <w:tc>
          <w:tcPr>
            <w:tcW w:w="3897" w:type="dxa"/>
            <w:tcBorders>
              <w:top w:val="single" w:sz="4" w:space="0" w:color="000000"/>
              <w:left w:val="single" w:sz="4" w:space="0" w:color="000000"/>
              <w:bottom w:val="single" w:sz="4" w:space="0" w:color="000000"/>
              <w:right w:val="single" w:sz="4" w:space="0" w:color="000000"/>
            </w:tcBorders>
          </w:tcPr>
          <w:p>
            <w:pPr>
              <w:pStyle w:val="ListParagraph"/>
              <w:widowControl w:val="false"/>
              <w:tabs>
                <w:tab w:val="clear" w:pos="708"/>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b w:val="false"/>
                <w:bCs w:val="false"/>
                <w:color w:val="000000"/>
                <w:kern w:val="0"/>
                <w:sz w:val="22"/>
                <w:szCs w:val="22"/>
                <w:shd w:fill="auto" w:val="clear"/>
                <w:lang w:val="pt-BR" w:eastAsia="zh-CN" w:bidi="ar-SA"/>
              </w:rPr>
            </w:pPr>
            <w:r>
              <w:rPr>
                <w:rFonts w:eastAsia="Arial" w:cs="Arial" w:ascii="Verdana" w:hAnsi="Verdana"/>
                <w:b w:val="false"/>
                <w:bCs w:val="false"/>
                <w:color w:val="000000"/>
                <w:kern w:val="0"/>
                <w:sz w:val="22"/>
                <w:szCs w:val="22"/>
                <w:shd w:fill="auto" w:val="clear"/>
                <w:lang w:val="pt-BR" w:eastAsia="zh-CN" w:bidi="ar-SA"/>
              </w:rPr>
              <w:t>CONTRATAÇÃO DE EMPRESA CONTRATAÇÃO DE EMPRESA ESPECIALIZADA PARA PRESTAÇÃO DE SERVIÇOS DE CONSTRUÇÃO DE INSTALAÇÃO DE CORRIMÃO, GUARDA-CORPO, E PROTEÇÃO CONTRA INCÊNDIO NA CÂMARA MUNICIPAL DE SÃO GABRIEL DA PALHA-ES.</w:t>
            </w:r>
          </w:p>
        </w:tc>
        <w:tc>
          <w:tcPr>
            <w:tcW w:w="11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360"/>
              <w:jc w:val="center"/>
              <w:rPr>
                <w:rFonts w:ascii="Verdana" w:hAnsi="Verdana"/>
                <w:sz w:val="22"/>
                <w:szCs w:val="22"/>
              </w:rPr>
            </w:pPr>
            <w:r>
              <w:rPr>
                <w:rFonts w:eastAsia="Times New Roman" w:cs="Times New Roman" w:ascii="Verdana" w:hAnsi="Verdana"/>
                <w:sz w:val="22"/>
                <w:szCs w:val="22"/>
              </w:rPr>
              <w:t>SERV.</w:t>
            </w:r>
          </w:p>
        </w:tc>
        <w:tc>
          <w:tcPr>
            <w:tcW w:w="14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360"/>
              <w:jc w:val="center"/>
              <w:rPr>
                <w:rFonts w:ascii="Verdana" w:hAnsi="Verdana"/>
                <w:sz w:val="22"/>
                <w:szCs w:val="22"/>
              </w:rPr>
            </w:pPr>
            <w:r>
              <w:rPr>
                <w:rFonts w:eastAsia="Times New Roman" w:cs="Times New Roman" w:ascii="Verdana" w:hAnsi="Verdana"/>
                <w:sz w:val="22"/>
                <w:szCs w:val="22"/>
              </w:rPr>
              <w:t>01</w:t>
            </w:r>
          </w:p>
        </w:tc>
        <w:tc>
          <w:tcPr>
            <w:tcW w:w="22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360"/>
              <w:jc w:val="center"/>
              <w:rPr>
                <w:rFonts w:ascii="Verdana" w:hAnsi="Verdana"/>
                <w:sz w:val="22"/>
                <w:szCs w:val="22"/>
              </w:rPr>
            </w:pPr>
            <w:r>
              <w:rPr>
                <w:rFonts w:eastAsia="Times New Roman" w:cs="Times New Roman" w:ascii="Verdana" w:hAnsi="Verdana"/>
                <w:color w:val="000000"/>
                <w:sz w:val="22"/>
                <w:szCs w:val="22"/>
              </w:rPr>
              <w:t xml:space="preserve">R$ </w:t>
            </w:r>
            <w:r>
              <w:rPr>
                <w:rFonts w:eastAsia="Times New Roman" w:cs="Arial" w:ascii="Verdana" w:hAnsi="Verdana"/>
                <w:color w:val="000000"/>
                <w:kern w:val="0"/>
                <w:sz w:val="22"/>
                <w:szCs w:val="22"/>
                <w:lang w:val="pt-BR" w:eastAsia="pt-BR" w:bidi="ar-SA"/>
              </w:rPr>
              <w:t xml:space="preserve"> 2</w:t>
            </w:r>
            <w:r>
              <w:rPr>
                <w:rFonts w:eastAsia="Times New Roman" w:cs="Arial" w:ascii="Verdana" w:hAnsi="Verdana"/>
                <w:color w:val="000000"/>
                <w:kern w:val="0"/>
                <w:sz w:val="22"/>
                <w:szCs w:val="22"/>
                <w:lang w:val="pt-BR" w:eastAsia="pt-BR" w:bidi="ar-SA"/>
              </w:rPr>
              <w:t>36.536,09</w:t>
            </w:r>
          </w:p>
        </w:tc>
      </w:tr>
      <w:tr>
        <w:trPr>
          <w:trHeight w:val="406" w:hRule="atLeast"/>
        </w:trPr>
        <w:tc>
          <w:tcPr>
            <w:tcW w:w="9700" w:type="dxa"/>
            <w:gridSpan w:val="5"/>
            <w:tcBorders>
              <w:left w:val="single" w:sz="4" w:space="0" w:color="000000"/>
              <w:bottom w:val="single" w:sz="4" w:space="0" w:color="000000"/>
              <w:right w:val="single" w:sz="4" w:space="0" w:color="000000"/>
            </w:tcBorders>
          </w:tcPr>
          <w:p>
            <w:pPr>
              <w:pStyle w:val="Normal"/>
              <w:widowControl w:val="false"/>
              <w:tabs>
                <w:tab w:val="clear" w:pos="708"/>
              </w:tabs>
              <w:spacing w:lineRule="auto" w:line="240"/>
              <w:jc w:val="center"/>
              <w:rPr>
                <w:rFonts w:ascii="Verdana" w:hAnsi="Verdana"/>
                <w:b/>
                <w:bCs/>
                <w:sz w:val="22"/>
                <w:szCs w:val="22"/>
              </w:rPr>
            </w:pPr>
            <w:r>
              <w:rPr>
                <w:rFonts w:ascii="Verdana" w:hAnsi="Verdana"/>
                <w:b/>
                <w:bCs/>
                <w:sz w:val="22"/>
                <w:szCs w:val="22"/>
              </w:rPr>
            </w:r>
          </w:p>
          <w:p>
            <w:pPr>
              <w:pStyle w:val="Normal"/>
              <w:widowControl w:val="false"/>
              <w:tabs>
                <w:tab w:val="clear" w:pos="708"/>
              </w:tabs>
              <w:spacing w:lineRule="auto" w:line="240"/>
              <w:jc w:val="center"/>
              <w:rPr>
                <w:rFonts w:ascii="Verdana" w:hAnsi="Verdana"/>
                <w:sz w:val="22"/>
                <w:szCs w:val="22"/>
              </w:rPr>
            </w:pPr>
            <w:r>
              <w:rPr>
                <w:rFonts w:ascii="Verdana" w:hAnsi="Verdana"/>
                <w:b/>
                <w:bCs/>
                <w:sz w:val="22"/>
                <w:szCs w:val="22"/>
              </w:rPr>
              <w:t xml:space="preserve">VALOR TOTAL ESTIMADO: </w:t>
            </w:r>
            <w:r>
              <w:rPr>
                <w:rFonts w:eastAsia="Times New Roman" w:cs="Times New Roman" w:ascii="Verdana" w:hAnsi="Verdana"/>
                <w:b/>
                <w:bCs/>
                <w:color w:val="000000"/>
                <w:kern w:val="0"/>
                <w:sz w:val="22"/>
                <w:szCs w:val="22"/>
                <w:lang w:val="pt-BR" w:eastAsia="pt-BR" w:bidi="ar-SA"/>
              </w:rPr>
              <w:t xml:space="preserve">R$ </w:t>
            </w:r>
            <w:r>
              <w:rPr>
                <w:rFonts w:eastAsia="Times New Roman" w:cs="Arial" w:ascii="Verdana" w:hAnsi="Verdana"/>
                <w:b/>
                <w:bCs/>
                <w:color w:val="000000"/>
                <w:kern w:val="0"/>
                <w:sz w:val="22"/>
                <w:szCs w:val="22"/>
                <w:lang w:val="pt-BR" w:eastAsia="pt-BR" w:bidi="ar-SA"/>
              </w:rPr>
              <w:t xml:space="preserve"> 2</w:t>
            </w:r>
            <w:r>
              <w:rPr>
                <w:rFonts w:eastAsia="Times New Roman" w:cs="Arial" w:ascii="Verdana" w:hAnsi="Verdana"/>
                <w:b/>
                <w:bCs/>
                <w:color w:val="000000"/>
                <w:kern w:val="0"/>
                <w:sz w:val="22"/>
                <w:szCs w:val="22"/>
                <w:lang w:val="pt-BR" w:eastAsia="pt-BR" w:bidi="ar-SA"/>
              </w:rPr>
              <w:t>36.536,09 (duzentos e trinta e seis mil quinhentos e trinta e seis reais e nove centavos)</w:t>
            </w:r>
          </w:p>
          <w:p>
            <w:pPr>
              <w:pStyle w:val="Normal"/>
              <w:widowControl w:val="false"/>
              <w:tabs>
                <w:tab w:val="clear" w:pos="708"/>
              </w:tabs>
              <w:spacing w:lineRule="auto" w:line="240"/>
              <w:jc w:val="center"/>
              <w:rPr>
                <w:rFonts w:ascii="Verdana" w:hAnsi="Verdana"/>
                <w:sz w:val="22"/>
                <w:szCs w:val="22"/>
              </w:rPr>
            </w:pPr>
            <w:r>
              <w:rPr>
                <w:rFonts w:ascii="Verdana" w:hAnsi="Verdana"/>
                <w:sz w:val="22"/>
                <w:szCs w:val="22"/>
              </w:rPr>
            </w:r>
          </w:p>
          <w:p>
            <w:pPr>
              <w:pStyle w:val="Normal"/>
              <w:widowControl w:val="false"/>
              <w:tabs>
                <w:tab w:val="clear" w:pos="708"/>
              </w:tabs>
              <w:spacing w:lineRule="auto" w:line="240"/>
              <w:jc w:val="center"/>
              <w:rPr>
                <w:rFonts w:ascii="Verdana" w:hAnsi="Verdana"/>
                <w:sz w:val="22"/>
                <w:szCs w:val="22"/>
              </w:rPr>
            </w:pPr>
            <w:r>
              <w:rPr>
                <w:rFonts w:eastAsia="Times New Roman" w:cs="Arial" w:ascii="Verdana" w:hAnsi="Verdana"/>
                <w:b/>
                <w:bCs/>
                <w:color w:val="000000"/>
                <w:kern w:val="0"/>
                <w:sz w:val="22"/>
                <w:szCs w:val="22"/>
                <w:lang w:val="pt-BR" w:eastAsia="pt-BR" w:bidi="ar-SA"/>
              </w:rPr>
              <w:t>Conforme planilhas e cálculos anexo nos autos pela requerente</w:t>
            </w:r>
          </w:p>
        </w:tc>
      </w:tr>
    </w:tbl>
    <w:p>
      <w:pPr>
        <w:pStyle w:val="Normal"/>
        <w:tabs>
          <w:tab w:val="clear" w:pos="708"/>
          <w:tab w:val="left" w:pos="567" w:leader="none"/>
        </w:tabs>
        <w:spacing w:lineRule="auto" w:line="360"/>
        <w:ind w:hanging="0" w:left="0" w:right="0"/>
        <w:jc w:val="both"/>
        <w:rPr>
          <w:rFonts w:ascii="Verdana" w:hAnsi="Verdana"/>
          <w:sz w:val="22"/>
          <w:szCs w:val="22"/>
        </w:rPr>
      </w:pPr>
      <w:r>
        <w:rPr>
          <w:rFonts w:ascii="Verdana" w:hAnsi="Verdana"/>
          <w:sz w:val="22"/>
          <w:szCs w:val="22"/>
        </w:rPr>
        <w:t xml:space="preserve">1.2. </w:t>
      </w:r>
      <w:r>
        <w:rPr>
          <w:rFonts w:cs="Arial" w:ascii="Verdana" w:hAnsi="Verdana"/>
          <w:sz w:val="22"/>
          <w:szCs w:val="22"/>
        </w:rPr>
        <w:t>Os serviços deverão ser executados de acordo com o cronograma estabelecido nas planilhas e projeto</w:t>
      </w:r>
      <w:r>
        <w:rPr>
          <w:rFonts w:cs="Arial" w:ascii="Verdana" w:hAnsi="Verdana"/>
          <w:b w:val="false"/>
          <w:bCs w:val="false"/>
          <w:sz w:val="22"/>
          <w:szCs w:val="22"/>
          <w:u w:val="none"/>
        </w:rPr>
        <w:t>s</w:t>
      </w:r>
      <w:r>
        <w:rPr>
          <w:rFonts w:eastAsia="Times New Roman" w:cs="Arial" w:ascii="Verdana" w:hAnsi="Verdana"/>
          <w:b w:val="false"/>
          <w:bCs w:val="false"/>
          <w:iCs/>
          <w:color w:val="000000"/>
          <w:sz w:val="22"/>
          <w:szCs w:val="22"/>
          <w:u w:val="none"/>
        </w:rPr>
        <w:t xml:space="preserve"> com prazo de entrega conforme estabelecido no ETP e planilhas anexo (após assinatura do contrato e a emissão da Autorização da Ordem de Serviços – previsão de entrega da obra em até 30 dias).</w:t>
      </w:r>
    </w:p>
    <w:p>
      <w:pPr>
        <w:pStyle w:val="Normal"/>
        <w:tabs>
          <w:tab w:val="clear" w:pos="708"/>
          <w:tab w:val="left" w:pos="567" w:leader="none"/>
        </w:tabs>
        <w:spacing w:lineRule="auto" w:line="360"/>
        <w:ind w:hanging="0" w:left="0" w:right="0"/>
        <w:jc w:val="both"/>
        <w:rPr>
          <w:rFonts w:ascii="Verdana" w:hAnsi="Verdana"/>
          <w:sz w:val="22"/>
          <w:szCs w:val="22"/>
        </w:rPr>
      </w:pPr>
      <w:r>
        <w:rPr>
          <w:rFonts w:eastAsia="Times New Roman" w:cs="Times New Roman" w:ascii="Verdana" w:hAnsi="Verdana"/>
          <w:b w:val="false"/>
          <w:bCs w:val="false"/>
          <w:iCs/>
          <w:color w:val="000000"/>
          <w:sz w:val="22"/>
          <w:szCs w:val="22"/>
        </w:rPr>
        <w:t>1.3.</w:t>
      </w:r>
      <w:r>
        <w:rPr>
          <w:rFonts w:eastAsia="Times New Roman" w:cs="Times New Roman" w:ascii="Verdana" w:hAnsi="Verdana"/>
          <w:b/>
          <w:bCs/>
          <w:iCs/>
          <w:color w:val="000000"/>
          <w:sz w:val="22"/>
          <w:szCs w:val="22"/>
        </w:rPr>
        <w:t xml:space="preserve"> </w:t>
      </w:r>
      <w:r>
        <w:rPr>
          <w:rFonts w:eastAsia="Times New Roman" w:cs="Times New Roman" w:ascii="Verdana" w:hAnsi="Verdana"/>
          <w:iCs/>
          <w:color w:val="000000"/>
          <w:sz w:val="22"/>
          <w:szCs w:val="22"/>
        </w:rPr>
        <w:t>O custo estimado total da contratação é de</w:t>
      </w:r>
      <w:r>
        <w:rPr>
          <w:rFonts w:eastAsia="Times New Roman" w:cs="Times New Roman" w:ascii="Verdana" w:hAnsi="Verdana"/>
          <w:b w:val="false"/>
          <w:bCs w:val="false"/>
          <w:i w:val="false"/>
          <w:iCs w:val="false"/>
          <w:color w:val="FF0000"/>
          <w:sz w:val="22"/>
          <w:szCs w:val="22"/>
        </w:rPr>
        <w:t xml:space="preserve"> </w:t>
      </w:r>
      <w:r>
        <w:rPr>
          <w:rFonts w:eastAsia="Times New Roman" w:cs="Arial" w:ascii="Verdana" w:hAnsi="Verdana"/>
          <w:b w:val="false"/>
          <w:bCs w:val="false"/>
          <w:i w:val="false"/>
          <w:iCs w:val="false"/>
          <w:color w:val="000000"/>
          <w:kern w:val="0"/>
          <w:sz w:val="22"/>
          <w:szCs w:val="22"/>
          <w:lang w:val="pt-BR" w:eastAsia="pt-BR" w:bidi="ar-SA"/>
        </w:rPr>
        <w:t>R$ 2</w:t>
      </w:r>
      <w:r>
        <w:rPr>
          <w:rFonts w:eastAsia="Times New Roman" w:cs="Arial" w:ascii="Verdana" w:hAnsi="Verdana"/>
          <w:b w:val="false"/>
          <w:bCs w:val="false"/>
          <w:i w:val="false"/>
          <w:iCs w:val="false"/>
          <w:color w:val="000000"/>
          <w:kern w:val="0"/>
          <w:sz w:val="22"/>
          <w:szCs w:val="22"/>
          <w:lang w:val="pt-BR" w:eastAsia="pt-BR" w:bidi="ar-SA"/>
        </w:rPr>
        <w:t>36.536,09 (duzentos e trinta e seis mil quinhentos e trinta e seis reais e nove centavos)</w:t>
      </w:r>
      <w:r>
        <w:rPr>
          <w:rFonts w:eastAsia="Times New Roman" w:cs="Arial" w:ascii="Verdana" w:hAnsi="Verdana"/>
          <w:b w:val="false"/>
          <w:bCs w:val="false"/>
          <w:i w:val="false"/>
          <w:iCs w:val="false"/>
          <w:color w:val="000000"/>
          <w:kern w:val="0"/>
          <w:sz w:val="22"/>
          <w:szCs w:val="22"/>
          <w:lang w:val="pt-BR" w:eastAsia="pt-BR" w:bidi="ar-SA"/>
        </w:rPr>
        <w:t xml:space="preserve">, </w:t>
      </w:r>
      <w:r>
        <w:rPr>
          <w:rFonts w:eastAsia="Times New Roman" w:cs="Times New Roman" w:ascii="Verdana" w:hAnsi="Verdana"/>
          <w:b w:val="false"/>
          <w:bCs w:val="false"/>
          <w:iCs/>
          <w:color w:val="000000"/>
          <w:sz w:val="22"/>
          <w:szCs w:val="22"/>
        </w:rPr>
        <w:t xml:space="preserve">conforme custos unitários apostos nas planilhas orçamentárias </w:t>
      </w:r>
      <w:r>
        <w:rPr>
          <w:rFonts w:eastAsia="Times New Roman" w:cs="Times New Roman" w:ascii="Verdana" w:hAnsi="Verdana"/>
          <w:b w:val="false"/>
          <w:bCs w:val="false"/>
          <w:iCs/>
          <w:color w:val="000000"/>
          <w:kern w:val="0"/>
          <w:sz w:val="22"/>
          <w:szCs w:val="22"/>
          <w:lang w:val="pt-BR" w:eastAsia="pt-BR" w:bidi="ar-SA"/>
        </w:rPr>
        <w:t>ane</w:t>
      </w:r>
      <w:r>
        <w:rPr>
          <w:rFonts w:eastAsia="Times New Roman" w:cs="Times New Roman" w:ascii="Verdana" w:hAnsi="Verdana"/>
          <w:b w:val="false"/>
          <w:bCs w:val="false"/>
          <w:iCs/>
          <w:color w:val="000000"/>
          <w:kern w:val="0"/>
          <w:sz w:val="22"/>
          <w:szCs w:val="22"/>
          <w:lang w:val="pt-BR" w:eastAsia="pt-BR" w:bidi="ar-SA"/>
        </w:rPr>
        <w:t>xo</w:t>
      </w:r>
      <w:r>
        <w:rPr>
          <w:rFonts w:eastAsia="Times New Roman" w:cs="Times New Roman" w:ascii="Verdana" w:hAnsi="Verdana"/>
          <w:b w:val="false"/>
          <w:bCs w:val="false"/>
          <w:iCs/>
          <w:color w:val="000000"/>
          <w:sz w:val="22"/>
          <w:szCs w:val="22"/>
        </w:rPr>
        <w:t xml:space="preserve"> nos autos.</w:t>
      </w:r>
    </w:p>
    <w:p>
      <w:pPr>
        <w:pStyle w:val="Normal"/>
        <w:tabs>
          <w:tab w:val="clear" w:pos="708"/>
          <w:tab w:val="left" w:pos="567" w:leader="none"/>
        </w:tabs>
        <w:spacing w:lineRule="auto" w:line="240"/>
        <w:ind w:hanging="0" w:left="0" w:right="0"/>
        <w:jc w:val="both"/>
        <w:rPr>
          <w:rFonts w:ascii="Verdana" w:hAnsi="Verdana" w:eastAsia="Times New Roman" w:cs="Times New Roman"/>
          <w:bCs/>
          <w:iCs/>
          <w:color w:val="000000"/>
          <w:sz w:val="22"/>
          <w:szCs w:val="22"/>
        </w:rPr>
      </w:pPr>
      <w:r>
        <w:rPr>
          <w:rFonts w:eastAsia="Times New Roman" w:cs="Times New Roman" w:ascii="Verdana" w:hAnsi="Verdana"/>
          <w:bCs/>
          <w:iCs/>
          <w:color w:val="000000"/>
          <w:sz w:val="22"/>
          <w:szCs w:val="22"/>
        </w:rPr>
      </w:r>
    </w:p>
    <w:p>
      <w:pPr>
        <w:pStyle w:val="Normal"/>
        <w:spacing w:lineRule="auto" w:line="360"/>
        <w:jc w:val="both"/>
        <w:rPr>
          <w:rFonts w:ascii="Verdana" w:hAnsi="Verdana"/>
          <w:sz w:val="22"/>
          <w:szCs w:val="22"/>
        </w:rPr>
      </w:pPr>
      <w:r>
        <w:rPr>
          <w:rFonts w:ascii="Verdana" w:hAnsi="Verdana"/>
          <w:b/>
          <w:bCs/>
          <w:sz w:val="22"/>
          <w:szCs w:val="22"/>
        </w:rPr>
        <w:t>2. DESCRIÇÃO DA NECESSIDADE DA CONTRATAÇÃO</w:t>
      </w:r>
    </w:p>
    <w:p>
      <w:pPr>
        <w:pStyle w:val="ListParagraph"/>
        <w:widowControl/>
        <w:suppressAutoHyphens w:val="true"/>
        <w:overflowPunct w:val="false"/>
        <w:bidi w:val="0"/>
        <w:spacing w:lineRule="auto" w:line="360" w:before="0" w:after="0"/>
        <w:ind w:hanging="0" w:left="0" w:right="0"/>
        <w:contextualSpacing/>
        <w:jc w:val="both"/>
        <w:rPr>
          <w:rFonts w:ascii="Verdana" w:hAnsi="Verdana"/>
          <w:sz w:val="22"/>
          <w:szCs w:val="22"/>
        </w:rPr>
      </w:pPr>
      <w:r>
        <w:rPr>
          <w:rFonts w:cs="Arial" w:ascii="Verdana" w:hAnsi="Verdana"/>
          <w:b w:val="false"/>
          <w:bCs w:val="false"/>
          <w:sz w:val="22"/>
          <w:szCs w:val="22"/>
        </w:rPr>
        <w:t xml:space="preserve">2.1. </w:t>
      </w:r>
      <w:bookmarkStart w:id="0" w:name="_Hlk170988156"/>
      <w:r>
        <w:rPr>
          <w:rFonts w:ascii="Verdana" w:hAnsi="Verdana"/>
          <w:sz w:val="22"/>
          <w:szCs w:val="22"/>
        </w:rPr>
        <w:t>A Fundamentação da Contratação e de seus quantitativos encontra-se pormenorizada em tópico específico dos Estudos Técnicos Preliminares, apêndice deste Termo de Referência.</w:t>
      </w:r>
      <w:bookmarkEnd w:id="0"/>
    </w:p>
    <w:p>
      <w:pPr>
        <w:pStyle w:val="ListParagraph"/>
        <w:widowControl/>
        <w:suppressAutoHyphens w:val="true"/>
        <w:overflowPunct w:val="false"/>
        <w:bidi w:val="0"/>
        <w:spacing w:lineRule="auto" w:line="240" w:before="0" w:after="0"/>
        <w:ind w:hanging="0" w:left="0" w:right="0"/>
        <w:contextualSpacing/>
        <w:jc w:val="both"/>
        <w:rPr>
          <w:rFonts w:ascii="Verdana" w:hAnsi="Verdana" w:eastAsia="Arial" w:cs="Arial"/>
          <w:sz w:val="22"/>
          <w:szCs w:val="22"/>
        </w:rPr>
      </w:pPr>
      <w:r>
        <w:rPr>
          <w:rFonts w:eastAsia="Arial" w:cs="Arial" w:ascii="Verdana" w:hAnsi="Verdana"/>
          <w:sz w:val="22"/>
          <w:szCs w:val="22"/>
        </w:rPr>
      </w:r>
    </w:p>
    <w:p>
      <w:pPr>
        <w:pStyle w:val="Normal"/>
        <w:tabs>
          <w:tab w:val="clear" w:pos="708"/>
          <w:tab w:val="left" w:pos="335" w:leader="none"/>
        </w:tabs>
        <w:spacing w:lineRule="auto" w:line="360"/>
        <w:jc w:val="both"/>
        <w:rPr>
          <w:rFonts w:ascii="Verdana" w:hAnsi="Verdana"/>
          <w:sz w:val="22"/>
          <w:szCs w:val="22"/>
        </w:rPr>
      </w:pPr>
      <w:r>
        <w:rPr>
          <w:rFonts w:ascii="Verdana" w:hAnsi="Verdana"/>
          <w:b/>
          <w:bCs/>
          <w:sz w:val="22"/>
          <w:szCs w:val="22"/>
        </w:rPr>
        <w:t>3. DESCRIÇÃO DA SOLUÇÃO</w:t>
      </w:r>
    </w:p>
    <w:p>
      <w:pPr>
        <w:pStyle w:val="Normal"/>
        <w:suppressAutoHyphens w:val="false"/>
        <w:spacing w:lineRule="auto" w:line="360" w:before="0" w:after="0"/>
        <w:ind w:right="0"/>
        <w:jc w:val="both"/>
        <w:rPr>
          <w:rFonts w:ascii="Verdana" w:hAnsi="Verdana" w:cs="Arial"/>
          <w:i w:val="false"/>
          <w:i w:val="false"/>
          <w:iCs w:val="false"/>
          <w:color w:val="000000"/>
          <w:sz w:val="22"/>
          <w:szCs w:val="22"/>
          <w:u w:val="none"/>
        </w:rPr>
      </w:pPr>
      <w:r>
        <w:rPr>
          <w:rFonts w:cs="Arial" w:ascii="Verdana" w:hAnsi="Verdana"/>
          <w:i w:val="false"/>
          <w:iCs w:val="false"/>
          <w:color w:val="000000"/>
          <w:sz w:val="22"/>
          <w:szCs w:val="22"/>
          <w:u w:val="none"/>
        </w:rPr>
        <w:t xml:space="preserve">3.1 </w:t>
      </w:r>
      <w:bookmarkStart w:id="1" w:name="_Ref121236534"/>
      <w:r>
        <w:rPr>
          <w:rFonts w:cs="Arial" w:ascii="Verdana" w:hAnsi="Verdana"/>
          <w:i w:val="false"/>
          <w:iCs w:val="false"/>
          <w:color w:val="000000"/>
          <w:sz w:val="22"/>
          <w:szCs w:val="22"/>
          <w:u w:val="none"/>
        </w:rPr>
        <w:t>A descrição da solução como um todo encontra-se pormenorizada em tópico específico dos Estudos Técnicos Preliminares, apêndice deste Termo de Referência.</w:t>
      </w:r>
      <w:bookmarkEnd w:id="1"/>
    </w:p>
    <w:p>
      <w:pPr>
        <w:pStyle w:val="Normal"/>
        <w:suppressAutoHyphens w:val="false"/>
        <w:spacing w:lineRule="auto" w:line="240" w:before="0" w:after="0"/>
        <w:ind w:right="0"/>
        <w:jc w:val="both"/>
        <w:rPr>
          <w:rFonts w:ascii="Verdana" w:hAnsi="Verdana" w:cs="Arial"/>
          <w:i w:val="false"/>
          <w:i w:val="false"/>
          <w:iCs w:val="false"/>
          <w:color w:val="000000"/>
          <w:sz w:val="22"/>
          <w:szCs w:val="22"/>
          <w:u w:val="none"/>
        </w:rPr>
      </w:pPr>
      <w:r>
        <w:rPr>
          <w:rFonts w:cs="Arial" w:ascii="Verdana" w:hAnsi="Verdana"/>
          <w:i w:val="false"/>
          <w:iCs w:val="false"/>
          <w:color w:val="000000"/>
          <w:sz w:val="22"/>
          <w:szCs w:val="22"/>
          <w:u w:val="none"/>
        </w:rPr>
      </w:r>
    </w:p>
    <w:p>
      <w:pPr>
        <w:pStyle w:val="Normal"/>
        <w:spacing w:lineRule="auto" w:line="360"/>
        <w:ind w:hanging="0" w:left="0" w:right="0"/>
        <w:jc w:val="both"/>
        <w:rPr>
          <w:rFonts w:ascii="Verdana" w:hAnsi="Verdana"/>
          <w:sz w:val="22"/>
          <w:szCs w:val="22"/>
        </w:rPr>
      </w:pPr>
      <w:r>
        <w:rPr>
          <w:rFonts w:ascii="Verdana" w:hAnsi="Verdana"/>
          <w:b/>
          <w:bCs/>
          <w:sz w:val="22"/>
          <w:szCs w:val="22"/>
        </w:rPr>
        <w:t>4. REQUISITOS DA CONTRATAÇÃO (conforme item 8 do ETP elaborado pela requerente)</w:t>
      </w:r>
    </w:p>
    <w:p>
      <w:pPr>
        <w:pStyle w:val="Normal"/>
        <w:spacing w:lineRule="auto" w:line="360"/>
        <w:ind w:hanging="0" w:left="0" w:right="0"/>
        <w:jc w:val="both"/>
        <w:rPr>
          <w:rFonts w:ascii="Verdana" w:hAnsi="Verdana" w:eastAsia="Arial" w:cs="Times New Roman"/>
          <w:b w:val="false"/>
          <w:bCs w:val="false"/>
          <w:sz w:val="22"/>
          <w:szCs w:val="22"/>
        </w:rPr>
      </w:pPr>
      <w:r>
        <w:rPr>
          <w:rFonts w:eastAsia="Arial" w:cs="Times New Roman" w:ascii="Verdana" w:hAnsi="Verdana"/>
          <w:b w:val="false"/>
          <w:bCs w:val="false"/>
          <w:sz w:val="22"/>
          <w:szCs w:val="22"/>
        </w:rPr>
        <w:t xml:space="preserve">4.1. </w:t>
      </w:r>
      <w:r>
        <w:rPr>
          <w:rFonts w:eastAsia="Arial" w:cs="Arial" w:ascii="Verdana" w:hAnsi="Verdana"/>
          <w:b w:val="false"/>
          <w:bCs w:val="false"/>
          <w:color w:val="000000"/>
          <w:sz w:val="22"/>
          <w:szCs w:val="22"/>
        </w:rPr>
        <w:t>Os requisitos da contratação devem contemplar as exigências que a contratada deverá atender, incluindo os requisitos mínimos de qualidade, de modo a possibilitar a seleção da proposta mais vantajosa, sendo sagrada vencedora o fornecedor apresentar o menor preço global.</w:t>
      </w:r>
    </w:p>
    <w:p>
      <w:pPr>
        <w:pStyle w:val="Normal"/>
        <w:spacing w:lineRule="auto" w:line="360"/>
        <w:jc w:val="both"/>
        <w:rPr>
          <w:rFonts w:ascii="Verdana" w:hAnsi="Verdana"/>
          <w:b w:val="false"/>
          <w:bCs w:val="false"/>
          <w:sz w:val="22"/>
          <w:szCs w:val="22"/>
        </w:rPr>
      </w:pPr>
      <w:r>
        <w:rPr>
          <w:rFonts w:eastAsia="Arial" w:cs="Arial" w:ascii="Verdana" w:hAnsi="Verdana"/>
          <w:b w:val="false"/>
          <w:bCs w:val="false"/>
          <w:sz w:val="22"/>
          <w:szCs w:val="22"/>
        </w:rPr>
        <w:t>4.2. A contratação deverá obedecer, no que couber, ao disposto na Lei n.º 14.133/2021 e suas alterações e demais legislações correlatas.</w:t>
      </w:r>
    </w:p>
    <w:p>
      <w:pPr>
        <w:pStyle w:val="Normal"/>
        <w:spacing w:lineRule="auto" w:line="360"/>
        <w:jc w:val="both"/>
        <w:rPr>
          <w:rFonts w:ascii="Verdana" w:hAnsi="Verdana"/>
          <w:b w:val="false"/>
          <w:bCs w:val="false"/>
          <w:sz w:val="22"/>
          <w:szCs w:val="22"/>
        </w:rPr>
      </w:pPr>
      <w:r>
        <w:rPr>
          <w:rFonts w:cs="Arial" w:ascii="Verdana" w:hAnsi="Verdana"/>
          <w:b w:val="false"/>
          <w:bCs w:val="false"/>
          <w:sz w:val="22"/>
          <w:szCs w:val="22"/>
        </w:rPr>
        <w:t>4.3. Os serviços deverão ser executados de acordo com o cronograma estabelecido nas planilhas e projetos, sendo de inteira responsabilidade da contratada os serviços de transporte e disponibilização dos equipamentos, materiais e mão de obra;</w:t>
      </w:r>
    </w:p>
    <w:p>
      <w:pPr>
        <w:pStyle w:val="Normal"/>
        <w:spacing w:lineRule="auto" w:line="360"/>
        <w:jc w:val="both"/>
        <w:rPr>
          <w:rFonts w:ascii="Verdana" w:hAnsi="Verdana"/>
          <w:b w:val="false"/>
          <w:bCs w:val="false"/>
          <w:sz w:val="22"/>
          <w:szCs w:val="22"/>
        </w:rPr>
      </w:pPr>
      <w:r>
        <w:rPr>
          <w:rFonts w:cs="Arial" w:ascii="Verdana" w:hAnsi="Verdana"/>
          <w:b w:val="false"/>
          <w:bCs w:val="false"/>
          <w:sz w:val="22"/>
          <w:szCs w:val="22"/>
        </w:rPr>
        <w:t xml:space="preserve">4.4. O prazo para execução dos serviços requisitados será de acordo com o cronograma de execução; </w:t>
      </w:r>
    </w:p>
    <w:p>
      <w:pPr>
        <w:pStyle w:val="Normal"/>
        <w:spacing w:lineRule="auto" w:line="360"/>
        <w:ind w:hanging="0" w:left="0" w:right="0"/>
        <w:jc w:val="both"/>
        <w:rPr>
          <w:rFonts w:ascii="Verdana" w:hAnsi="Verdana"/>
          <w:sz w:val="22"/>
          <w:szCs w:val="22"/>
        </w:rPr>
      </w:pPr>
      <w:r>
        <w:rPr>
          <w:rFonts w:eastAsia="Arial" w:cs="Arial" w:ascii="Verdana" w:hAnsi="Verdana"/>
          <w:b w:val="false"/>
          <w:bCs w:val="false"/>
          <w:sz w:val="22"/>
          <w:szCs w:val="22"/>
        </w:rPr>
        <w:t>4.5.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pPr>
        <w:pStyle w:val="Normal"/>
        <w:spacing w:lineRule="auto" w:line="360"/>
        <w:ind w:hanging="0" w:left="0" w:right="0"/>
        <w:jc w:val="both"/>
        <w:rPr>
          <w:rFonts w:ascii="Verdana" w:hAnsi="Verdana"/>
          <w:sz w:val="22"/>
          <w:szCs w:val="22"/>
        </w:rPr>
      </w:pPr>
      <w:r>
        <w:rPr>
          <w:rFonts w:eastAsia="Arial" w:cs="Arial" w:ascii="Verdana" w:hAnsi="Verdana"/>
          <w:b w:val="false"/>
          <w:bCs w:val="false"/>
          <w:sz w:val="22"/>
          <w:szCs w:val="22"/>
        </w:rPr>
      </w:r>
    </w:p>
    <w:p>
      <w:pPr>
        <w:pStyle w:val="Normal"/>
        <w:spacing w:lineRule="auto" w:line="240"/>
        <w:ind w:hanging="0" w:left="0" w:right="0"/>
        <w:jc w:val="both"/>
        <w:rPr>
          <w:rFonts w:ascii="Verdana" w:hAnsi="Verdana" w:eastAsia="Arial" w:cs="Arial"/>
          <w:b w:val="false"/>
          <w:bCs w:val="false"/>
          <w:sz w:val="22"/>
          <w:szCs w:val="22"/>
        </w:rPr>
      </w:pPr>
      <w:r>
        <w:rPr>
          <w:rFonts w:eastAsia="Arial" w:cs="Arial" w:ascii="Verdana" w:hAnsi="Verdana"/>
          <w:b w:val="false"/>
          <w:bCs w:val="false"/>
          <w:sz w:val="22"/>
          <w:szCs w:val="22"/>
        </w:rPr>
      </w:r>
    </w:p>
    <w:p>
      <w:pPr>
        <w:pStyle w:val="Normal"/>
        <w:spacing w:lineRule="auto" w:line="360"/>
        <w:jc w:val="both"/>
        <w:rPr>
          <w:rFonts w:ascii="Verdana" w:hAnsi="Verdana"/>
          <w:sz w:val="22"/>
          <w:szCs w:val="22"/>
        </w:rPr>
      </w:pPr>
      <w:r>
        <w:rPr>
          <w:rFonts w:cs="Arial" w:ascii="Verdana" w:hAnsi="Verdana"/>
          <w:b w:val="false"/>
          <w:bCs w:val="false"/>
          <w:sz w:val="22"/>
          <w:szCs w:val="22"/>
          <w:shd w:fill="auto" w:val="clear"/>
        </w:rPr>
        <w:tab/>
      </w:r>
      <w:r>
        <w:rPr>
          <w:rFonts w:cs="Arial" w:ascii="Verdana" w:hAnsi="Verdana"/>
          <w:b/>
          <w:bCs/>
          <w:sz w:val="22"/>
          <w:szCs w:val="22"/>
          <w:shd w:fill="auto" w:val="clear"/>
        </w:rPr>
        <w:t xml:space="preserve">4.6. NA </w:t>
      </w:r>
      <w:r>
        <w:rPr>
          <w:rFonts w:eastAsia="Times New Roman" w:cs="Arial" w:ascii="Verdana" w:hAnsi="Verdana"/>
          <w:b/>
          <w:bCs/>
          <w:color w:val="000000"/>
          <w:kern w:val="0"/>
          <w:sz w:val="22"/>
          <w:szCs w:val="22"/>
          <w:shd w:fill="auto" w:val="clear"/>
          <w:lang w:val="pt-BR" w:eastAsia="zh-CN" w:bidi="ar-SA"/>
        </w:rPr>
        <w:t>ENTREGA DA OBRA</w:t>
      </w:r>
      <w:r>
        <w:rPr>
          <w:rFonts w:cs="Arial" w:ascii="Verdana" w:hAnsi="Verdana"/>
          <w:b/>
          <w:bCs/>
          <w:sz w:val="22"/>
          <w:szCs w:val="22"/>
          <w:shd w:fill="auto" w:val="clear"/>
        </w:rPr>
        <w:t>, A CONTRATADA DEVE:</w:t>
      </w:r>
    </w:p>
    <w:p>
      <w:pPr>
        <w:pStyle w:val="Normal"/>
        <w:spacing w:lineRule="auto" w:line="360" w:before="0" w:after="0"/>
        <w:jc w:val="both"/>
        <w:rPr>
          <w:rFonts w:ascii="Verdana" w:hAnsi="Verdana"/>
          <w:sz w:val="22"/>
          <w:szCs w:val="22"/>
        </w:rPr>
      </w:pPr>
      <w:r>
        <w:rPr>
          <w:rFonts w:cs="Arial" w:ascii="Verdana" w:hAnsi="Verdana"/>
          <w:b w:val="false"/>
          <w:bCs w:val="false"/>
          <w:sz w:val="22"/>
          <w:szCs w:val="22"/>
          <w:shd w:fill="auto" w:val="clear"/>
        </w:rPr>
        <w:t xml:space="preserve">a) </w:t>
      </w:r>
      <w:r>
        <w:rPr>
          <w:rFonts w:eastAsia="Times New Roman" w:cs="Arial" w:ascii="Verdana" w:hAnsi="Verdana"/>
          <w:b w:val="false"/>
          <w:bCs w:val="false"/>
          <w:color w:val="000000"/>
          <w:kern w:val="0"/>
          <w:sz w:val="22"/>
          <w:szCs w:val="22"/>
          <w:shd w:fill="auto" w:val="clear"/>
          <w:lang w:val="pt-BR" w:eastAsia="zh-CN" w:bidi="ar-SA"/>
        </w:rPr>
        <w:t xml:space="preserve">Se submeter às regras do edital de licitação ou dispensa de licitação, apresentando toda a documentação exigida pelo órgão público competente; </w:t>
      </w:r>
    </w:p>
    <w:p>
      <w:pPr>
        <w:pStyle w:val="Normal"/>
        <w:spacing w:lineRule="auto" w:line="360" w:before="0" w:after="0"/>
        <w:jc w:val="both"/>
        <w:rPr>
          <w:rFonts w:ascii="Verdana" w:hAnsi="Verdana"/>
          <w:sz w:val="22"/>
          <w:szCs w:val="22"/>
        </w:rPr>
      </w:pPr>
      <w:r>
        <w:rPr>
          <w:rFonts w:eastAsia="Times New Roman" w:cs="Arial" w:ascii="Verdana" w:hAnsi="Verdana"/>
          <w:b w:val="false"/>
          <w:bCs w:val="false"/>
          <w:color w:val="000000"/>
          <w:kern w:val="0"/>
          <w:sz w:val="22"/>
          <w:szCs w:val="22"/>
          <w:shd w:fill="auto" w:val="clear"/>
          <w:lang w:val="pt-BR" w:eastAsia="zh-CN" w:bidi="ar-SA"/>
        </w:rPr>
        <w:t xml:space="preserve">b) Estar em dia com as obrigações fiscais da empresa; </w:t>
      </w:r>
    </w:p>
    <w:p>
      <w:pPr>
        <w:pStyle w:val="Normal"/>
        <w:spacing w:lineRule="auto" w:line="360" w:before="0" w:after="0"/>
        <w:jc w:val="both"/>
        <w:rPr>
          <w:rFonts w:ascii="Verdana" w:hAnsi="Verdana"/>
          <w:sz w:val="22"/>
          <w:szCs w:val="22"/>
        </w:rPr>
      </w:pPr>
      <w:r>
        <w:rPr>
          <w:rFonts w:eastAsia="Times New Roman" w:cs="Arial" w:ascii="Verdana" w:hAnsi="Verdana"/>
          <w:b w:val="false"/>
          <w:bCs w:val="false"/>
          <w:color w:val="000000"/>
          <w:kern w:val="0"/>
          <w:sz w:val="22"/>
          <w:szCs w:val="22"/>
          <w:shd w:fill="auto" w:val="clear"/>
          <w:lang w:val="pt-BR" w:eastAsia="zh-CN" w:bidi="ar-SA"/>
        </w:rPr>
        <w:t>c) Os serviços precisam atender aos padrões de qualidade exigidos pela legislação vigente.</w:t>
      </w:r>
    </w:p>
    <w:p>
      <w:pPr>
        <w:pStyle w:val="Normal"/>
        <w:spacing w:lineRule="auto" w:line="360" w:before="0" w:after="0"/>
        <w:jc w:val="both"/>
        <w:rPr>
          <w:rFonts w:ascii="Verdana" w:hAnsi="Verdana"/>
          <w:sz w:val="22"/>
          <w:szCs w:val="22"/>
        </w:rPr>
      </w:pPr>
      <w:r>
        <w:rPr>
          <w:rFonts w:eastAsia="Arial" w:cs="Arial" w:ascii="Verdana" w:hAnsi="Verdana"/>
          <w:b w:val="false"/>
          <w:bCs w:val="false"/>
          <w:sz w:val="22"/>
          <w:szCs w:val="22"/>
          <w:shd w:fill="auto" w:val="clear"/>
        </w:rPr>
        <w:t>d) A empresa fornecedora deve seguir práticas sustentáveis, como a reciclagem das embalagens e descarte de entulho, contribuindo para a preservação do meio ambiente.</w:t>
      </w:r>
    </w:p>
    <w:p>
      <w:pPr>
        <w:pStyle w:val="Normal"/>
        <w:spacing w:lineRule="auto" w:line="360" w:before="0" w:after="0"/>
        <w:jc w:val="both"/>
        <w:rPr>
          <w:rFonts w:ascii="Verdana" w:hAnsi="Verdana"/>
          <w:sz w:val="22"/>
          <w:szCs w:val="22"/>
        </w:rPr>
      </w:pPr>
      <w:r>
        <w:rPr>
          <w:rFonts w:eastAsia="Arial" w:cs="Arial" w:ascii="Verdana" w:hAnsi="Verdana"/>
          <w:b w:val="false"/>
          <w:bCs w:val="false"/>
          <w:sz w:val="22"/>
          <w:szCs w:val="22"/>
          <w:shd w:fill="auto" w:val="clear"/>
        </w:rPr>
        <w:t xml:space="preserve">e) </w:t>
      </w:r>
      <w:r>
        <w:rPr>
          <w:rFonts w:eastAsia="Arial" w:cs="Arial" w:ascii="Verdana" w:hAnsi="Verdana"/>
          <w:b w:val="false"/>
          <w:bCs w:val="false"/>
          <w:color w:val="000000"/>
          <w:kern w:val="0"/>
          <w:sz w:val="22"/>
          <w:szCs w:val="22"/>
          <w:shd w:fill="auto" w:val="clear"/>
          <w:lang w:val="pt-BR" w:eastAsia="zh-CN" w:bidi="ar-SA"/>
        </w:rPr>
        <w:t>Seguir estritamente os projetos anexados ao edital de licitação</w:t>
      </w:r>
      <w:r>
        <w:rPr>
          <w:rFonts w:eastAsia="Arial" w:cs="Arial" w:ascii="Verdana" w:hAnsi="Verdana"/>
          <w:b w:val="false"/>
          <w:bCs w:val="false"/>
          <w:sz w:val="22"/>
          <w:szCs w:val="22"/>
          <w:shd w:fill="auto" w:val="clear"/>
        </w:rPr>
        <w:t>;</w:t>
      </w:r>
    </w:p>
    <w:p>
      <w:pPr>
        <w:pStyle w:val="Normal"/>
        <w:spacing w:lineRule="auto" w:line="360" w:before="0" w:after="0"/>
        <w:jc w:val="both"/>
        <w:rPr>
          <w:rFonts w:ascii="Verdana" w:hAnsi="Verdana"/>
          <w:sz w:val="22"/>
          <w:szCs w:val="22"/>
        </w:rPr>
      </w:pPr>
      <w:r>
        <w:rPr>
          <w:rFonts w:eastAsia="Arial" w:cs="Arial" w:ascii="Verdana" w:hAnsi="Verdana"/>
          <w:b w:val="false"/>
          <w:bCs w:val="false"/>
          <w:sz w:val="22"/>
          <w:szCs w:val="22"/>
          <w:shd w:fill="auto" w:val="clear"/>
        </w:rPr>
        <w:t>f) Responsabilizar-se pela entrega fiel ao projetado e pela garantia da obra pelo período estabelecido por lei.</w:t>
      </w:r>
    </w:p>
    <w:p>
      <w:pPr>
        <w:pStyle w:val="Normal"/>
        <w:spacing w:lineRule="auto" w:line="240" w:before="0" w:after="0"/>
        <w:jc w:val="both"/>
        <w:rPr>
          <w:rFonts w:ascii="Verdana" w:hAnsi="Verdana"/>
          <w:b w:val="false"/>
          <w:bCs w:val="false"/>
          <w:sz w:val="22"/>
          <w:szCs w:val="22"/>
        </w:rPr>
      </w:pPr>
      <w:r>
        <w:rPr>
          <w:rFonts w:ascii="Verdana" w:hAnsi="Verdana"/>
          <w:b w:val="false"/>
          <w:bCs w:val="false"/>
          <w:sz w:val="22"/>
          <w:szCs w:val="22"/>
        </w:rPr>
      </w:r>
    </w:p>
    <w:p>
      <w:pPr>
        <w:pStyle w:val="Normal"/>
        <w:spacing w:lineRule="auto" w:line="360" w:before="0" w:after="0"/>
        <w:jc w:val="both"/>
        <w:rPr>
          <w:rFonts w:ascii="Verdana" w:hAnsi="Verdana"/>
          <w:sz w:val="22"/>
          <w:szCs w:val="22"/>
        </w:rPr>
      </w:pPr>
      <w:r>
        <w:rPr>
          <w:rFonts w:ascii="Verdana" w:hAnsi="Verdana"/>
          <w:b/>
          <w:bCs/>
          <w:sz w:val="22"/>
          <w:szCs w:val="22"/>
          <w:shd w:fill="auto" w:val="clear"/>
        </w:rPr>
        <w:tab/>
        <w:t>4.7.  DA QUALIFICAÇÃO TÉCNICA.</w:t>
      </w:r>
    </w:p>
    <w:p>
      <w:pPr>
        <w:pStyle w:val="ListParagraph"/>
        <w:tabs>
          <w:tab w:val="clear" w:pos="708"/>
          <w:tab w:val="left" w:pos="1052" w:leader="none"/>
        </w:tabs>
        <w:spacing w:lineRule="auto" w:line="360" w:before="0" w:after="0"/>
        <w:ind w:hanging="0" w:left="0" w:right="-1"/>
        <w:contextualSpacing w:val="false"/>
        <w:jc w:val="both"/>
        <w:rPr>
          <w:rFonts w:ascii="Verdana" w:hAnsi="Verdana"/>
          <w:sz w:val="22"/>
          <w:szCs w:val="22"/>
        </w:rPr>
      </w:pPr>
      <w:r>
        <w:rPr>
          <w:rFonts w:ascii="Verdana" w:hAnsi="Verdana"/>
          <w:iCs/>
          <w:color w:val="000000"/>
          <w:sz w:val="22"/>
          <w:szCs w:val="22"/>
        </w:rPr>
        <w:t xml:space="preserve">a) </w:t>
      </w:r>
      <w:r>
        <w:rPr>
          <w:rFonts w:ascii="Verdana" w:hAnsi="Verdana"/>
          <w:color w:val="000000"/>
          <w:sz w:val="22"/>
          <w:szCs w:val="22"/>
        </w:rPr>
        <w:t>Comprovante/declaração</w:t>
      </w:r>
      <w:r>
        <w:rPr>
          <w:rFonts w:ascii="Verdana" w:hAnsi="Verdana"/>
          <w:color w:val="000000"/>
          <w:spacing w:val="1"/>
          <w:sz w:val="22"/>
          <w:szCs w:val="22"/>
        </w:rPr>
        <w:t xml:space="preserve"> </w:t>
      </w:r>
      <w:r>
        <w:rPr>
          <w:rFonts w:ascii="Verdana" w:hAnsi="Verdana"/>
          <w:color w:val="000000"/>
          <w:sz w:val="22"/>
          <w:szCs w:val="22"/>
        </w:rPr>
        <w:t>de registro no Conselho Regional de Engenharia</w:t>
      </w:r>
      <w:r>
        <w:rPr>
          <w:rFonts w:ascii="Verdana" w:hAnsi="Verdana"/>
          <w:color w:val="000000"/>
          <w:spacing w:val="1"/>
          <w:sz w:val="22"/>
          <w:szCs w:val="22"/>
        </w:rPr>
        <w:t xml:space="preserve"> </w:t>
      </w:r>
      <w:r>
        <w:rPr>
          <w:rFonts w:ascii="Verdana" w:hAnsi="Verdana"/>
          <w:color w:val="000000"/>
          <w:sz w:val="22"/>
          <w:szCs w:val="22"/>
        </w:rPr>
        <w:t>e Agronomia  —</w:t>
      </w:r>
      <w:r>
        <w:rPr>
          <w:rFonts w:ascii="Verdana" w:hAnsi="Verdana"/>
          <w:color w:val="000000"/>
          <w:spacing w:val="1"/>
          <w:sz w:val="22"/>
          <w:szCs w:val="22"/>
        </w:rPr>
        <w:t xml:space="preserve"> </w:t>
      </w:r>
      <w:r>
        <w:rPr>
          <w:rFonts w:ascii="Verdana" w:hAnsi="Verdana"/>
          <w:color w:val="000000"/>
          <w:sz w:val="22"/>
          <w:szCs w:val="22"/>
        </w:rPr>
        <w:t>CREA</w:t>
      </w:r>
      <w:r>
        <w:rPr>
          <w:rFonts w:ascii="Verdana" w:hAnsi="Verdana"/>
          <w:color w:val="000000"/>
          <w:spacing w:val="1"/>
          <w:sz w:val="22"/>
          <w:szCs w:val="22"/>
        </w:rPr>
        <w:t xml:space="preserve"> </w:t>
      </w:r>
      <w:r>
        <w:rPr>
          <w:rFonts w:ascii="Verdana" w:hAnsi="Verdana"/>
          <w:color w:val="000000"/>
          <w:sz w:val="22"/>
          <w:szCs w:val="22"/>
        </w:rPr>
        <w:t>ou</w:t>
      </w:r>
      <w:r>
        <w:rPr>
          <w:rFonts w:ascii="Verdana" w:hAnsi="Verdana"/>
          <w:color w:val="000000"/>
          <w:spacing w:val="1"/>
          <w:sz w:val="22"/>
          <w:szCs w:val="22"/>
        </w:rPr>
        <w:t xml:space="preserve"> </w:t>
      </w:r>
      <w:r>
        <w:rPr>
          <w:rFonts w:ascii="Verdana" w:hAnsi="Verdana"/>
          <w:color w:val="000000"/>
          <w:sz w:val="22"/>
          <w:szCs w:val="22"/>
        </w:rPr>
        <w:t>Conselho</w:t>
      </w:r>
      <w:r>
        <w:rPr>
          <w:rFonts w:ascii="Verdana" w:hAnsi="Verdana"/>
          <w:color w:val="000000"/>
          <w:spacing w:val="1"/>
          <w:sz w:val="22"/>
          <w:szCs w:val="22"/>
        </w:rPr>
        <w:t xml:space="preserve"> </w:t>
      </w:r>
      <w:r>
        <w:rPr>
          <w:rFonts w:ascii="Verdana" w:hAnsi="Verdana"/>
          <w:color w:val="000000"/>
          <w:sz w:val="22"/>
          <w:szCs w:val="22"/>
        </w:rPr>
        <w:t>de</w:t>
      </w:r>
      <w:r>
        <w:rPr>
          <w:rFonts w:ascii="Verdana" w:hAnsi="Verdana"/>
          <w:color w:val="000000"/>
          <w:spacing w:val="1"/>
          <w:sz w:val="22"/>
          <w:szCs w:val="22"/>
        </w:rPr>
        <w:t xml:space="preserve"> </w:t>
      </w:r>
      <w:r>
        <w:rPr>
          <w:rFonts w:ascii="Verdana" w:hAnsi="Verdana"/>
          <w:color w:val="000000"/>
          <w:sz w:val="22"/>
          <w:szCs w:val="22"/>
        </w:rPr>
        <w:t>Arquitetura</w:t>
      </w:r>
      <w:r>
        <w:rPr>
          <w:rFonts w:ascii="Verdana" w:hAnsi="Verdana"/>
          <w:color w:val="000000"/>
          <w:spacing w:val="1"/>
          <w:sz w:val="22"/>
          <w:szCs w:val="22"/>
        </w:rPr>
        <w:t xml:space="preserve"> </w:t>
      </w:r>
      <w:r>
        <w:rPr>
          <w:rFonts w:ascii="Verdana" w:hAnsi="Verdana"/>
          <w:color w:val="000000"/>
          <w:sz w:val="22"/>
          <w:szCs w:val="22"/>
        </w:rPr>
        <w:t>e</w:t>
      </w:r>
      <w:r>
        <w:rPr>
          <w:rFonts w:ascii="Verdana" w:hAnsi="Verdana"/>
          <w:color w:val="000000"/>
          <w:spacing w:val="1"/>
          <w:sz w:val="22"/>
          <w:szCs w:val="22"/>
        </w:rPr>
        <w:t xml:space="preserve"> </w:t>
      </w:r>
      <w:r>
        <w:rPr>
          <w:rFonts w:ascii="Verdana" w:hAnsi="Verdana"/>
          <w:color w:val="000000"/>
          <w:sz w:val="22"/>
          <w:szCs w:val="22"/>
        </w:rPr>
        <w:t xml:space="preserve">Urbanismo </w:t>
      </w:r>
      <w:r>
        <w:rPr>
          <w:rFonts w:ascii="Verdana" w:hAnsi="Verdana"/>
          <w:color w:val="000000"/>
          <w:spacing w:val="1"/>
          <w:sz w:val="22"/>
          <w:szCs w:val="22"/>
        </w:rPr>
        <w:t xml:space="preserve"> </w:t>
      </w:r>
      <w:r>
        <w:rPr>
          <w:rFonts w:ascii="Verdana" w:hAnsi="Verdana"/>
          <w:color w:val="000000"/>
          <w:sz w:val="22"/>
          <w:szCs w:val="22"/>
        </w:rPr>
        <w:t>—</w:t>
      </w:r>
      <w:r>
        <w:rPr>
          <w:rFonts w:ascii="Verdana" w:hAnsi="Verdana"/>
          <w:color w:val="000000"/>
          <w:spacing w:val="1"/>
          <w:sz w:val="22"/>
          <w:szCs w:val="22"/>
        </w:rPr>
        <w:t xml:space="preserve"> </w:t>
      </w:r>
      <w:r>
        <w:rPr>
          <w:rFonts w:ascii="Verdana" w:hAnsi="Verdana"/>
          <w:color w:val="000000"/>
          <w:sz w:val="22"/>
          <w:szCs w:val="22"/>
        </w:rPr>
        <w:t>CAU,</w:t>
      </w:r>
      <w:r>
        <w:rPr>
          <w:rFonts w:ascii="Verdana" w:hAnsi="Verdana"/>
          <w:color w:val="000000"/>
          <w:spacing w:val="1"/>
          <w:sz w:val="22"/>
          <w:szCs w:val="22"/>
        </w:rPr>
        <w:t xml:space="preserve"> </w:t>
      </w:r>
      <w:r>
        <w:rPr>
          <w:rFonts w:ascii="Verdana" w:hAnsi="Verdana"/>
          <w:color w:val="000000"/>
          <w:sz w:val="22"/>
          <w:szCs w:val="22"/>
        </w:rPr>
        <w:t>da</w:t>
      </w:r>
      <w:r>
        <w:rPr>
          <w:rFonts w:ascii="Verdana" w:hAnsi="Verdana"/>
          <w:color w:val="000000"/>
          <w:spacing w:val="1"/>
          <w:sz w:val="22"/>
          <w:szCs w:val="22"/>
        </w:rPr>
        <w:t xml:space="preserve"> </w:t>
      </w:r>
      <w:r>
        <w:rPr>
          <w:rFonts w:ascii="Verdana" w:hAnsi="Verdana"/>
          <w:color w:val="000000"/>
          <w:sz w:val="22"/>
          <w:szCs w:val="22"/>
        </w:rPr>
        <w:t xml:space="preserve">licitante e  de </w:t>
      </w:r>
      <w:r>
        <w:rPr>
          <w:rFonts w:ascii="Verdana" w:hAnsi="Verdana"/>
          <w:color w:val="000000"/>
          <w:spacing w:val="1"/>
          <w:sz w:val="22"/>
          <w:szCs w:val="22"/>
        </w:rPr>
        <w:t xml:space="preserve"> </w:t>
      </w:r>
      <w:r>
        <w:rPr>
          <w:rFonts w:ascii="Verdana" w:hAnsi="Verdana"/>
          <w:color w:val="000000"/>
          <w:sz w:val="22"/>
          <w:szCs w:val="22"/>
        </w:rPr>
        <w:t>seus</w:t>
      </w:r>
      <w:r>
        <w:rPr>
          <w:rFonts w:ascii="Verdana" w:hAnsi="Verdana"/>
          <w:color w:val="000000"/>
          <w:spacing w:val="1"/>
          <w:sz w:val="22"/>
          <w:szCs w:val="22"/>
        </w:rPr>
        <w:t xml:space="preserve"> </w:t>
      </w:r>
      <w:r>
        <w:rPr>
          <w:rFonts w:ascii="Verdana" w:hAnsi="Verdana"/>
          <w:color w:val="000000"/>
          <w:sz w:val="22"/>
          <w:szCs w:val="22"/>
        </w:rPr>
        <w:t>responsáveis</w:t>
      </w:r>
      <w:r>
        <w:rPr>
          <w:rFonts w:ascii="Verdana" w:hAnsi="Verdana"/>
          <w:color w:val="000000"/>
          <w:spacing w:val="13"/>
          <w:sz w:val="22"/>
          <w:szCs w:val="22"/>
        </w:rPr>
        <w:t xml:space="preserve"> </w:t>
      </w:r>
      <w:r>
        <w:rPr>
          <w:rFonts w:ascii="Verdana" w:hAnsi="Verdana"/>
          <w:color w:val="000000"/>
          <w:sz w:val="22"/>
          <w:szCs w:val="22"/>
        </w:rPr>
        <w:t>técnicos</w:t>
      </w:r>
      <w:r>
        <w:rPr>
          <w:rFonts w:ascii="Verdana" w:hAnsi="Verdana"/>
          <w:color w:val="000000"/>
          <w:spacing w:val="13"/>
          <w:sz w:val="22"/>
          <w:szCs w:val="22"/>
        </w:rPr>
        <w:t xml:space="preserve"> </w:t>
      </w:r>
      <w:r>
        <w:rPr>
          <w:rFonts w:ascii="Verdana" w:hAnsi="Verdana"/>
          <w:color w:val="000000"/>
          <w:sz w:val="22"/>
          <w:szCs w:val="22"/>
        </w:rPr>
        <w:t>—</w:t>
      </w:r>
      <w:r>
        <w:rPr>
          <w:rFonts w:ascii="Verdana" w:hAnsi="Verdana"/>
          <w:color w:val="000000"/>
          <w:spacing w:val="3"/>
          <w:sz w:val="22"/>
          <w:szCs w:val="22"/>
        </w:rPr>
        <w:t xml:space="preserve"> </w:t>
      </w:r>
      <w:r>
        <w:rPr>
          <w:rFonts w:ascii="Verdana" w:hAnsi="Verdana"/>
          <w:color w:val="000000"/>
          <w:sz w:val="22"/>
          <w:szCs w:val="22"/>
        </w:rPr>
        <w:t>Engenheiro</w:t>
      </w:r>
      <w:r>
        <w:rPr>
          <w:rFonts w:ascii="Verdana" w:hAnsi="Verdana"/>
          <w:color w:val="000000"/>
          <w:spacing w:val="20"/>
          <w:sz w:val="22"/>
          <w:szCs w:val="22"/>
        </w:rPr>
        <w:t xml:space="preserve"> </w:t>
      </w:r>
      <w:r>
        <w:rPr>
          <w:rFonts w:ascii="Verdana" w:hAnsi="Verdana"/>
          <w:color w:val="000000"/>
          <w:sz w:val="22"/>
          <w:szCs w:val="22"/>
        </w:rPr>
        <w:t>Civil</w:t>
      </w:r>
      <w:r>
        <w:rPr>
          <w:rFonts w:ascii="Verdana" w:hAnsi="Verdana"/>
          <w:color w:val="000000"/>
          <w:spacing w:val="6"/>
          <w:sz w:val="22"/>
          <w:szCs w:val="22"/>
        </w:rPr>
        <w:t xml:space="preserve"> </w:t>
      </w:r>
      <w:r>
        <w:rPr>
          <w:rFonts w:ascii="Verdana" w:hAnsi="Verdana"/>
          <w:color w:val="000000"/>
          <w:sz w:val="22"/>
          <w:szCs w:val="22"/>
        </w:rPr>
        <w:t>ou</w:t>
      </w:r>
      <w:r>
        <w:rPr>
          <w:rFonts w:ascii="Verdana" w:hAnsi="Verdana"/>
          <w:color w:val="000000"/>
          <w:spacing w:val="-11"/>
          <w:sz w:val="22"/>
          <w:szCs w:val="22"/>
        </w:rPr>
        <w:t xml:space="preserve"> </w:t>
      </w:r>
      <w:r>
        <w:rPr>
          <w:rFonts w:ascii="Verdana" w:hAnsi="Verdana"/>
          <w:color w:val="000000"/>
          <w:sz w:val="22"/>
          <w:szCs w:val="22"/>
        </w:rPr>
        <w:t>Arquiteto e Urbanista.</w:t>
      </w:r>
    </w:p>
    <w:p>
      <w:pPr>
        <w:pStyle w:val="Normal"/>
        <w:spacing w:lineRule="auto" w:line="360"/>
        <w:jc w:val="both"/>
        <w:rPr>
          <w:rFonts w:ascii="Verdana" w:hAnsi="Verdana"/>
          <w:sz w:val="22"/>
          <w:szCs w:val="22"/>
        </w:rPr>
      </w:pPr>
      <w:r>
        <w:rPr>
          <w:rFonts w:ascii="Verdana" w:hAnsi="Verdana"/>
          <w:sz w:val="22"/>
          <w:szCs w:val="22"/>
        </w:rPr>
        <w:t>b) A empresa licitante deverá apresentar para fins de comprovação de vínculo empregatício Declaração de Indicação dos Profissionais: ENGENHEIRO ou ARQUITETO URBANISTA com vínculo que atuará como responsável Técnico para o acompanhamento dos serviços objeto desta licitação.</w:t>
      </w:r>
    </w:p>
    <w:p>
      <w:pPr>
        <w:pStyle w:val="Normal"/>
        <w:spacing w:lineRule="auto" w:line="360"/>
        <w:jc w:val="both"/>
        <w:rPr>
          <w:rFonts w:ascii="Verdana" w:hAnsi="Verdana"/>
          <w:sz w:val="22"/>
          <w:szCs w:val="22"/>
        </w:rPr>
      </w:pPr>
      <w:r>
        <w:rPr>
          <w:rFonts w:ascii="Verdana" w:hAnsi="Verdana"/>
          <w:sz w:val="22"/>
          <w:szCs w:val="22"/>
        </w:rPr>
        <w:t>c) Declaração de aceitação dos profissionais: ENGENHEIRO ou ARQUITETO URBANISTA com vínculo que atuará como responsável Técnico para o acompanhamento dos serviços objeto desta licitação.</w:t>
      </w:r>
    </w:p>
    <w:p>
      <w:pPr>
        <w:pStyle w:val="Normal"/>
        <w:spacing w:lineRule="auto" w:line="360"/>
        <w:jc w:val="both"/>
        <w:rPr>
          <w:rFonts w:ascii="Verdana" w:hAnsi="Verdana"/>
          <w:sz w:val="22"/>
          <w:szCs w:val="22"/>
        </w:rPr>
      </w:pPr>
      <w:r>
        <w:rPr>
          <w:rFonts w:ascii="Verdana" w:hAnsi="Verdana"/>
          <w:sz w:val="22"/>
          <w:szCs w:val="22"/>
        </w:rPr>
        <w:t>d) Atestados de desempenho anterior, emitido por pessoas jurídicas de direito público ou privado, devidamente registrado no CREA/CAU, acompanhado das respectivas Certidões de Acervo Técnico (CAT), visando certificar a capacidade técnica do profissional da empresa proponente, emitido por pessoa jurídica de direito público ou privado, comprovando ter prestado serviços iguais ou semelhantes ao objeto deste Estudo Técnico Preliminar.</w:t>
      </w:r>
    </w:p>
    <w:p>
      <w:pPr>
        <w:pStyle w:val="Normal"/>
        <w:spacing w:lineRule="auto" w:line="360"/>
        <w:jc w:val="both"/>
        <w:rPr>
          <w:rFonts w:ascii="Verdana" w:hAnsi="Verdana"/>
          <w:sz w:val="22"/>
          <w:szCs w:val="22"/>
        </w:rPr>
      </w:pPr>
      <w:r>
        <w:rPr>
          <w:rFonts w:cs="Verdana" w:ascii="Verdana" w:hAnsi="Verdana"/>
          <w:b/>
          <w:bCs/>
          <w:sz w:val="22"/>
          <w:szCs w:val="22"/>
        </w:rPr>
      </w:r>
    </w:p>
    <w:p>
      <w:pPr>
        <w:pStyle w:val="Normal"/>
        <w:spacing w:lineRule="auto" w:line="360" w:before="0" w:after="0"/>
        <w:jc w:val="both"/>
        <w:rPr>
          <w:rFonts w:ascii="Verdana" w:hAnsi="Verdana" w:cs="Verdana"/>
          <w:sz w:val="22"/>
          <w:szCs w:val="22"/>
        </w:rPr>
      </w:pPr>
      <w:r>
        <w:rPr>
          <w:rFonts w:cs="Verdana" w:ascii="Verdana" w:hAnsi="Verdana"/>
          <w:b/>
          <w:bCs/>
          <w:sz w:val="22"/>
          <w:szCs w:val="22"/>
        </w:rPr>
        <w:tab/>
      </w:r>
      <w:r>
        <w:rPr>
          <w:rFonts w:cs="Verdana" w:ascii="Verdana" w:hAnsi="Verdana"/>
          <w:b/>
          <w:bCs/>
          <w:sz w:val="22"/>
          <w:szCs w:val="22"/>
          <w:u w:val="none"/>
        </w:rPr>
        <w:t>4.8.</w:t>
      </w:r>
      <w:r>
        <w:rPr>
          <w:rFonts w:cs="Verdana" w:ascii="Verdana" w:hAnsi="Verdana"/>
          <w:b/>
          <w:bCs/>
          <w:color w:val="000000"/>
          <w:sz w:val="22"/>
          <w:szCs w:val="22"/>
          <w:u w:val="none"/>
        </w:rPr>
        <w:t xml:space="preserve"> VISITA TÉCNICA</w:t>
      </w:r>
    </w:p>
    <w:p>
      <w:pPr>
        <w:pStyle w:val="Standard"/>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 xml:space="preserve">a) </w:t>
      </w:r>
      <w:r>
        <w:rPr>
          <w:rFonts w:ascii="Verdana" w:hAnsi="Verdana"/>
          <w:b w:val="false"/>
          <w:bCs w:val="false"/>
          <w:color w:val="000000"/>
          <w:sz w:val="22"/>
          <w:szCs w:val="22"/>
        </w:rPr>
        <w:t>Considerando</w:t>
      </w:r>
      <w:r>
        <w:rPr>
          <w:rFonts w:ascii="Verdana" w:hAnsi="Verdana"/>
          <w:b w:val="false"/>
          <w:bCs w:val="false"/>
          <w:color w:val="000000"/>
          <w:spacing w:val="-3"/>
          <w:sz w:val="22"/>
          <w:szCs w:val="22"/>
        </w:rPr>
        <w:t xml:space="preserve"> </w:t>
      </w:r>
      <w:r>
        <w:rPr>
          <w:rFonts w:ascii="Verdana" w:hAnsi="Verdana"/>
          <w:b w:val="false"/>
          <w:bCs w:val="false"/>
          <w:color w:val="000000"/>
          <w:sz w:val="22"/>
          <w:szCs w:val="22"/>
        </w:rPr>
        <w:t>que</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na</w:t>
      </w:r>
      <w:r>
        <w:rPr>
          <w:rFonts w:ascii="Verdana" w:hAnsi="Verdana"/>
          <w:b w:val="false"/>
          <w:bCs w:val="false"/>
          <w:color w:val="000000"/>
          <w:spacing w:val="-4"/>
          <w:sz w:val="22"/>
          <w:szCs w:val="22"/>
        </w:rPr>
        <w:t xml:space="preserve"> </w:t>
      </w:r>
      <w:r>
        <w:rPr>
          <w:rFonts w:ascii="Verdana" w:hAnsi="Verdana"/>
          <w:b w:val="false"/>
          <w:bCs w:val="false"/>
          <w:color w:val="000000"/>
          <w:sz w:val="22"/>
          <w:szCs w:val="22"/>
        </w:rPr>
        <w:t>presente</w:t>
      </w:r>
      <w:r>
        <w:rPr>
          <w:rFonts w:ascii="Verdana" w:hAnsi="Verdana"/>
          <w:b w:val="false"/>
          <w:bCs w:val="false"/>
          <w:color w:val="000000"/>
          <w:spacing w:val="-4"/>
          <w:sz w:val="22"/>
          <w:szCs w:val="22"/>
        </w:rPr>
        <w:t xml:space="preserve"> </w:t>
      </w:r>
      <w:r>
        <w:rPr>
          <w:rFonts w:ascii="Verdana" w:hAnsi="Verdana"/>
          <w:b w:val="false"/>
          <w:bCs w:val="false"/>
          <w:color w:val="000000"/>
          <w:sz w:val="22"/>
          <w:szCs w:val="22"/>
        </w:rPr>
        <w:t>contratação</w:t>
      </w:r>
      <w:r>
        <w:rPr>
          <w:rFonts w:ascii="Verdana" w:hAnsi="Verdana"/>
          <w:b w:val="false"/>
          <w:bCs w:val="false"/>
          <w:color w:val="000000"/>
          <w:spacing w:val="-3"/>
          <w:sz w:val="22"/>
          <w:szCs w:val="22"/>
        </w:rPr>
        <w:t xml:space="preserve"> </w:t>
      </w:r>
      <w:r>
        <w:rPr>
          <w:rFonts w:ascii="Verdana" w:hAnsi="Verdana"/>
          <w:b w:val="false"/>
          <w:bCs w:val="false"/>
          <w:color w:val="000000"/>
          <w:sz w:val="22"/>
          <w:szCs w:val="22"/>
        </w:rPr>
        <w:t>a</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avaliação</w:t>
      </w:r>
      <w:r>
        <w:rPr>
          <w:rFonts w:ascii="Verdana" w:hAnsi="Verdana"/>
          <w:b w:val="false"/>
          <w:bCs w:val="false"/>
          <w:color w:val="000000"/>
          <w:spacing w:val="-3"/>
          <w:sz w:val="22"/>
          <w:szCs w:val="22"/>
        </w:rPr>
        <w:t xml:space="preserve"> </w:t>
      </w:r>
      <w:r>
        <w:rPr>
          <w:rFonts w:ascii="Verdana" w:hAnsi="Verdana"/>
          <w:b w:val="false"/>
          <w:bCs w:val="false"/>
          <w:color w:val="000000"/>
          <w:sz w:val="22"/>
          <w:szCs w:val="22"/>
        </w:rPr>
        <w:t>prévia</w:t>
      </w:r>
      <w:r>
        <w:rPr>
          <w:rFonts w:ascii="Verdana" w:hAnsi="Verdana"/>
          <w:b w:val="false"/>
          <w:bCs w:val="false"/>
          <w:color w:val="000000"/>
          <w:spacing w:val="-4"/>
          <w:sz w:val="22"/>
          <w:szCs w:val="22"/>
        </w:rPr>
        <w:t xml:space="preserve"> </w:t>
      </w:r>
      <w:r>
        <w:rPr>
          <w:rFonts w:ascii="Verdana" w:hAnsi="Verdana"/>
          <w:b w:val="false"/>
          <w:bCs w:val="false"/>
          <w:color w:val="000000"/>
          <w:sz w:val="22"/>
          <w:szCs w:val="22"/>
        </w:rPr>
        <w:t>do</w:t>
      </w:r>
      <w:r>
        <w:rPr>
          <w:rFonts w:ascii="Verdana" w:hAnsi="Verdana"/>
          <w:b w:val="false"/>
          <w:bCs w:val="false"/>
          <w:color w:val="000000"/>
          <w:spacing w:val="-3"/>
          <w:sz w:val="22"/>
          <w:szCs w:val="22"/>
        </w:rPr>
        <w:t xml:space="preserve"> </w:t>
      </w:r>
      <w:r>
        <w:rPr>
          <w:rFonts w:ascii="Verdana" w:hAnsi="Verdana"/>
          <w:b w:val="false"/>
          <w:bCs w:val="false"/>
          <w:color w:val="000000"/>
          <w:sz w:val="22"/>
          <w:szCs w:val="22"/>
        </w:rPr>
        <w:t>local</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de</w:t>
      </w:r>
      <w:r>
        <w:rPr>
          <w:rFonts w:ascii="Verdana" w:hAnsi="Verdana"/>
          <w:b w:val="false"/>
          <w:bCs w:val="false"/>
          <w:color w:val="000000"/>
          <w:spacing w:val="-4"/>
          <w:sz w:val="22"/>
          <w:szCs w:val="22"/>
        </w:rPr>
        <w:t xml:space="preserve"> </w:t>
      </w:r>
      <w:r>
        <w:rPr>
          <w:rFonts w:ascii="Verdana" w:hAnsi="Verdana"/>
          <w:b w:val="false"/>
          <w:bCs w:val="false"/>
          <w:color w:val="000000"/>
          <w:sz w:val="22"/>
          <w:szCs w:val="22"/>
        </w:rPr>
        <w:t>execução</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é imprescindível</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para</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o</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conhecimento</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pleno</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das</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condições</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e</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peculiaridades</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do objeto</w:t>
      </w:r>
      <w:r>
        <w:rPr>
          <w:rFonts w:ascii="Verdana" w:hAnsi="Verdana"/>
          <w:b w:val="false"/>
          <w:bCs w:val="false"/>
          <w:color w:val="000000"/>
          <w:spacing w:val="-1"/>
          <w:sz w:val="22"/>
          <w:szCs w:val="22"/>
        </w:rPr>
        <w:t xml:space="preserve"> </w:t>
      </w:r>
      <w:r>
        <w:rPr>
          <w:rFonts w:ascii="Verdana" w:hAnsi="Verdana"/>
          <w:b w:val="false"/>
          <w:bCs w:val="false"/>
          <w:color w:val="000000"/>
          <w:sz w:val="22"/>
          <w:szCs w:val="22"/>
        </w:rPr>
        <w:t>a</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ser</w:t>
      </w:r>
      <w:r>
        <w:rPr>
          <w:rFonts w:ascii="Verdana" w:hAnsi="Verdana"/>
          <w:b w:val="false"/>
          <w:bCs w:val="false"/>
          <w:color w:val="000000"/>
          <w:spacing w:val="-2"/>
          <w:sz w:val="22"/>
          <w:szCs w:val="22"/>
        </w:rPr>
        <w:t xml:space="preserve"> </w:t>
      </w:r>
      <w:r>
        <w:rPr>
          <w:rFonts w:ascii="Verdana" w:hAnsi="Verdana"/>
          <w:b w:val="false"/>
          <w:bCs w:val="false"/>
          <w:color w:val="000000"/>
          <w:sz w:val="22"/>
          <w:szCs w:val="22"/>
        </w:rPr>
        <w:t>contratado, o licitante deve atestar, sob pena de inabilitação, que conhece o local e as condições de realização do serviço, assegurado a ele o direito de realização de vistoria prévia.</w:t>
      </w:r>
    </w:p>
    <w:p>
      <w:pPr>
        <w:pStyle w:val="ListParagraph"/>
        <w:tabs>
          <w:tab w:val="clear" w:pos="708"/>
          <w:tab w:val="left" w:pos="473" w:leader="none"/>
        </w:tabs>
        <w:spacing w:lineRule="auto" w:line="360" w:before="0" w:after="0"/>
        <w:ind w:hanging="0" w:left="0" w:right="192"/>
        <w:contextualSpacing w:val="false"/>
        <w:jc w:val="both"/>
        <w:rPr/>
      </w:pPr>
      <w:r>
        <w:rPr>
          <w:rFonts w:ascii="Verdana" w:hAnsi="Verdana"/>
          <w:b w:val="false"/>
          <w:bCs w:val="false"/>
          <w:color w:val="000000"/>
          <w:sz w:val="22"/>
          <w:szCs w:val="22"/>
        </w:rPr>
        <w:t>b) O</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licitante</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que</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optar</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por</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realizar</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vistoria</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prévia</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terá</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disponibilizado</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pela</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Administração data</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e</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horários exclusivos,</w:t>
      </w:r>
      <w:r>
        <w:rPr>
          <w:rFonts w:ascii="Verdana" w:hAnsi="Verdana"/>
          <w:b w:val="false"/>
          <w:bCs w:val="false"/>
          <w:color w:val="000000"/>
          <w:spacing w:val="-8"/>
          <w:sz w:val="22"/>
          <w:szCs w:val="22"/>
        </w:rPr>
        <w:t xml:space="preserve"> </w:t>
      </w:r>
      <w:r>
        <w:rPr>
          <w:rFonts w:ascii="Verdana" w:hAnsi="Verdana"/>
          <w:b w:val="false"/>
          <w:bCs w:val="false"/>
          <w:color w:val="000000"/>
          <w:sz w:val="22"/>
          <w:szCs w:val="22"/>
        </w:rPr>
        <w:t>a</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ser</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agendado</w:t>
      </w:r>
      <w:r>
        <w:rPr>
          <w:rFonts w:ascii="Verdana" w:hAnsi="Verdana"/>
          <w:b w:val="false"/>
          <w:bCs w:val="false"/>
          <w:color w:val="000000"/>
          <w:spacing w:val="-7"/>
          <w:sz w:val="22"/>
          <w:szCs w:val="22"/>
        </w:rPr>
        <w:t xml:space="preserve"> </w:t>
      </w:r>
      <w:r>
        <w:rPr>
          <w:rFonts w:ascii="Verdana" w:hAnsi="Verdana"/>
          <w:b w:val="false"/>
          <w:bCs w:val="false"/>
          <w:color w:val="000000"/>
          <w:sz w:val="22"/>
          <w:szCs w:val="22"/>
        </w:rPr>
        <w:t>até</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o</w:t>
      </w:r>
      <w:r>
        <w:rPr>
          <w:rFonts w:ascii="Verdana" w:hAnsi="Verdana"/>
          <w:b w:val="false"/>
          <w:bCs w:val="false"/>
          <w:color w:val="000000"/>
          <w:spacing w:val="-8"/>
          <w:sz w:val="22"/>
          <w:szCs w:val="22"/>
        </w:rPr>
        <w:t xml:space="preserve"> </w:t>
      </w:r>
      <w:r>
        <w:rPr>
          <w:rFonts w:ascii="Verdana" w:hAnsi="Verdana"/>
          <w:b w:val="false"/>
          <w:bCs w:val="false"/>
          <w:color w:val="000000"/>
          <w:sz w:val="22"/>
          <w:szCs w:val="22"/>
        </w:rPr>
        <w:t>terceiro</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dia</w:t>
      </w:r>
      <w:r>
        <w:rPr>
          <w:rFonts w:ascii="Verdana" w:hAnsi="Verdana"/>
          <w:b w:val="false"/>
          <w:bCs w:val="false"/>
          <w:color w:val="000000"/>
          <w:spacing w:val="-8"/>
          <w:sz w:val="22"/>
          <w:szCs w:val="22"/>
        </w:rPr>
        <w:t xml:space="preserve"> </w:t>
      </w:r>
      <w:r>
        <w:rPr>
          <w:rFonts w:ascii="Verdana" w:hAnsi="Verdana"/>
          <w:b w:val="false"/>
          <w:bCs w:val="false"/>
          <w:color w:val="000000"/>
          <w:sz w:val="22"/>
          <w:szCs w:val="22"/>
        </w:rPr>
        <w:t>útil</w:t>
      </w:r>
      <w:r>
        <w:rPr>
          <w:rFonts w:ascii="Verdana" w:hAnsi="Verdana"/>
          <w:b w:val="false"/>
          <w:bCs w:val="false"/>
          <w:color w:val="000000"/>
          <w:spacing w:val="-7"/>
          <w:sz w:val="22"/>
          <w:szCs w:val="22"/>
        </w:rPr>
        <w:t xml:space="preserve"> </w:t>
      </w:r>
      <w:r>
        <w:rPr>
          <w:rFonts w:ascii="Verdana" w:hAnsi="Verdana"/>
          <w:b w:val="false"/>
          <w:bCs w:val="false"/>
          <w:color w:val="000000"/>
          <w:sz w:val="22"/>
          <w:szCs w:val="22"/>
        </w:rPr>
        <w:t>antes</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da</w:t>
      </w:r>
      <w:r>
        <w:rPr>
          <w:rFonts w:ascii="Verdana" w:hAnsi="Verdana"/>
          <w:b w:val="false"/>
          <w:bCs w:val="false"/>
          <w:color w:val="000000"/>
          <w:spacing w:val="-9"/>
          <w:sz w:val="22"/>
          <w:szCs w:val="22"/>
        </w:rPr>
        <w:t xml:space="preserve"> </w:t>
      </w:r>
      <w:r>
        <w:rPr>
          <w:rFonts w:ascii="Verdana" w:hAnsi="Verdana"/>
          <w:b w:val="false"/>
          <w:bCs w:val="false"/>
          <w:color w:val="000000"/>
          <w:sz w:val="22"/>
          <w:szCs w:val="22"/>
        </w:rPr>
        <w:t>realização</w:t>
      </w:r>
      <w:r>
        <w:rPr>
          <w:rFonts w:ascii="Verdana" w:hAnsi="Verdana"/>
          <w:b w:val="false"/>
          <w:bCs w:val="false"/>
          <w:color w:val="000000"/>
          <w:spacing w:val="-8"/>
          <w:sz w:val="22"/>
          <w:szCs w:val="22"/>
        </w:rPr>
        <w:t xml:space="preserve"> </w:t>
      </w:r>
      <w:r>
        <w:rPr>
          <w:rFonts w:ascii="Verdana" w:hAnsi="Verdana"/>
          <w:b w:val="false"/>
          <w:bCs w:val="false"/>
          <w:color w:val="000000"/>
          <w:sz w:val="22"/>
          <w:szCs w:val="22"/>
        </w:rPr>
        <w:t>do</w:t>
      </w:r>
      <w:r>
        <w:rPr>
          <w:rFonts w:ascii="Verdana" w:hAnsi="Verdana"/>
          <w:b w:val="false"/>
          <w:bCs w:val="false"/>
          <w:color w:val="000000"/>
          <w:spacing w:val="-8"/>
          <w:sz w:val="22"/>
          <w:szCs w:val="22"/>
        </w:rPr>
        <w:t xml:space="preserve"> </w:t>
      </w:r>
      <w:r>
        <w:rPr>
          <w:rFonts w:ascii="Verdana" w:hAnsi="Verdana"/>
          <w:b w:val="false"/>
          <w:bCs w:val="false"/>
          <w:color w:val="000000"/>
          <w:sz w:val="22"/>
          <w:szCs w:val="22"/>
        </w:rPr>
        <w:t>certame, através</w:t>
      </w:r>
      <w:r>
        <w:rPr>
          <w:rFonts w:ascii="Verdana" w:hAnsi="Verdana"/>
          <w:b w:val="false"/>
          <w:bCs w:val="false"/>
          <w:color w:val="000000"/>
          <w:spacing w:val="-15"/>
          <w:sz w:val="22"/>
          <w:szCs w:val="22"/>
        </w:rPr>
        <w:t xml:space="preserve"> </w:t>
      </w:r>
      <w:r>
        <w:rPr>
          <w:rFonts w:ascii="Verdana" w:hAnsi="Verdana"/>
          <w:b w:val="false"/>
          <w:bCs w:val="false"/>
          <w:color w:val="000000"/>
          <w:sz w:val="22"/>
          <w:szCs w:val="22"/>
        </w:rPr>
        <w:t>de</w:t>
      </w:r>
      <w:r>
        <w:rPr>
          <w:rFonts w:ascii="Verdana" w:hAnsi="Verdana"/>
          <w:b w:val="false"/>
          <w:bCs w:val="false"/>
          <w:color w:val="000000"/>
          <w:spacing w:val="-3"/>
          <w:sz w:val="22"/>
          <w:szCs w:val="22"/>
        </w:rPr>
        <w:t xml:space="preserve"> </w:t>
      </w:r>
      <w:r>
        <w:rPr>
          <w:rFonts w:ascii="Verdana" w:hAnsi="Verdana"/>
          <w:b w:val="false"/>
          <w:bCs w:val="false"/>
          <w:color w:val="000000"/>
          <w:sz w:val="22"/>
          <w:szCs w:val="22"/>
        </w:rPr>
        <w:t xml:space="preserve">contato pelo endereço eletrônico </w:t>
      </w:r>
      <w:hyperlink r:id="rId2">
        <w:r>
          <w:rPr>
            <w:rStyle w:val="Style6"/>
            <w:rFonts w:ascii="Verdana" w:hAnsi="Verdana"/>
            <w:b w:val="false"/>
            <w:bCs w:val="false"/>
            <w:sz w:val="22"/>
            <w:szCs w:val="22"/>
          </w:rPr>
          <w:t>obras@saogabriel.es.gov.br</w:t>
        </w:r>
      </w:hyperlink>
      <w:r>
        <w:rPr>
          <w:rFonts w:ascii="Verdana" w:hAnsi="Verdana"/>
          <w:b w:val="false"/>
          <w:bCs w:val="false"/>
          <w:color w:val="000000"/>
          <w:sz w:val="22"/>
          <w:szCs w:val="22"/>
        </w:rPr>
        <w:t xml:space="preserve"> e por telefone (27)3727-1383 ou (27) 99982-4121, de modo que seu agendamento não coincida com o agendamento de outros licitantes.</w:t>
      </w:r>
    </w:p>
    <w:p>
      <w:pPr>
        <w:pStyle w:val="ListParagraph"/>
        <w:tabs>
          <w:tab w:val="clear" w:pos="708"/>
          <w:tab w:val="left" w:pos="483" w:leader="none"/>
        </w:tabs>
        <w:spacing w:lineRule="auto" w:line="360"/>
        <w:ind w:hanging="0" w:left="0" w:right="196"/>
        <w:jc w:val="both"/>
        <w:rPr>
          <w:rFonts w:ascii="Verdana" w:hAnsi="Verdana"/>
          <w:sz w:val="22"/>
          <w:szCs w:val="22"/>
        </w:rPr>
      </w:pPr>
      <w:r>
        <w:rPr>
          <w:rFonts w:cs="Arial" w:ascii="Verdana" w:hAnsi="Verdana"/>
          <w:b w:val="false"/>
          <w:bCs w:val="false"/>
          <w:color w:val="000000"/>
          <w:sz w:val="22"/>
          <w:szCs w:val="22"/>
        </w:rPr>
        <w:t>c) Caso</w:t>
      </w:r>
      <w:r>
        <w:rPr>
          <w:rFonts w:cs="Arial" w:ascii="Verdana" w:hAnsi="Verdana"/>
          <w:b w:val="false"/>
          <w:bCs w:val="false"/>
          <w:color w:val="000000"/>
          <w:spacing w:val="-7"/>
          <w:sz w:val="22"/>
          <w:szCs w:val="22"/>
        </w:rPr>
        <w:t xml:space="preserve"> </w:t>
      </w:r>
      <w:r>
        <w:rPr>
          <w:rFonts w:cs="Arial" w:ascii="Verdana" w:hAnsi="Verdana"/>
          <w:b w:val="false"/>
          <w:bCs w:val="false"/>
          <w:color w:val="000000"/>
          <w:sz w:val="22"/>
          <w:szCs w:val="22"/>
        </w:rPr>
        <w:t>o</w:t>
      </w:r>
      <w:r>
        <w:rPr>
          <w:rFonts w:cs="Arial" w:ascii="Verdana" w:hAnsi="Verdana"/>
          <w:b w:val="false"/>
          <w:bCs w:val="false"/>
          <w:color w:val="000000"/>
          <w:spacing w:val="-7"/>
          <w:sz w:val="22"/>
          <w:szCs w:val="22"/>
        </w:rPr>
        <w:t xml:space="preserve"> </w:t>
      </w:r>
      <w:r>
        <w:rPr>
          <w:rFonts w:cs="Arial" w:ascii="Verdana" w:hAnsi="Verdana"/>
          <w:b w:val="false"/>
          <w:bCs w:val="false"/>
          <w:color w:val="000000"/>
          <w:sz w:val="22"/>
          <w:szCs w:val="22"/>
        </w:rPr>
        <w:t>licitante</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opte</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por</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não</w:t>
      </w:r>
      <w:r>
        <w:rPr>
          <w:rFonts w:cs="Arial" w:ascii="Verdana" w:hAnsi="Verdana"/>
          <w:b w:val="false"/>
          <w:bCs w:val="false"/>
          <w:color w:val="000000"/>
          <w:spacing w:val="-7"/>
          <w:sz w:val="22"/>
          <w:szCs w:val="22"/>
        </w:rPr>
        <w:t xml:space="preserve"> </w:t>
      </w:r>
      <w:r>
        <w:rPr>
          <w:rFonts w:cs="Arial" w:ascii="Verdana" w:hAnsi="Verdana"/>
          <w:b w:val="false"/>
          <w:bCs w:val="false"/>
          <w:color w:val="000000"/>
          <w:sz w:val="22"/>
          <w:szCs w:val="22"/>
        </w:rPr>
        <w:t>realizar</w:t>
      </w:r>
      <w:r>
        <w:rPr>
          <w:rFonts w:cs="Arial" w:ascii="Verdana" w:hAnsi="Verdana"/>
          <w:b w:val="false"/>
          <w:bCs w:val="false"/>
          <w:color w:val="000000"/>
          <w:spacing w:val="-9"/>
          <w:sz w:val="22"/>
          <w:szCs w:val="22"/>
        </w:rPr>
        <w:t xml:space="preserve"> </w:t>
      </w:r>
      <w:r>
        <w:rPr>
          <w:rFonts w:cs="Arial" w:ascii="Verdana" w:hAnsi="Verdana"/>
          <w:b w:val="false"/>
          <w:bCs w:val="false"/>
          <w:color w:val="000000"/>
          <w:sz w:val="22"/>
          <w:szCs w:val="22"/>
        </w:rPr>
        <w:t>vistoria,</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poderá</w:t>
      </w:r>
      <w:r>
        <w:rPr>
          <w:rFonts w:cs="Arial" w:ascii="Verdana" w:hAnsi="Verdana"/>
          <w:b w:val="false"/>
          <w:bCs w:val="false"/>
          <w:color w:val="000000"/>
          <w:spacing w:val="-9"/>
          <w:sz w:val="22"/>
          <w:szCs w:val="22"/>
        </w:rPr>
        <w:t xml:space="preserve"> </w:t>
      </w:r>
      <w:r>
        <w:rPr>
          <w:rFonts w:cs="Arial" w:ascii="Verdana" w:hAnsi="Verdana"/>
          <w:b w:val="false"/>
          <w:bCs w:val="false"/>
          <w:color w:val="000000"/>
          <w:sz w:val="22"/>
          <w:szCs w:val="22"/>
        </w:rPr>
        <w:t>substituir</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a</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declaração</w:t>
      </w:r>
      <w:r>
        <w:rPr>
          <w:rFonts w:cs="Arial" w:ascii="Verdana" w:hAnsi="Verdana"/>
          <w:b w:val="false"/>
          <w:bCs w:val="false"/>
          <w:color w:val="000000"/>
          <w:spacing w:val="-7"/>
          <w:sz w:val="22"/>
          <w:szCs w:val="22"/>
        </w:rPr>
        <w:t xml:space="preserve"> </w:t>
      </w:r>
      <w:r>
        <w:rPr>
          <w:rFonts w:cs="Arial" w:ascii="Verdana" w:hAnsi="Verdana"/>
          <w:b w:val="false"/>
          <w:bCs w:val="false"/>
          <w:color w:val="000000"/>
          <w:sz w:val="22"/>
          <w:szCs w:val="22"/>
        </w:rPr>
        <w:t>exigida</w:t>
      </w:r>
      <w:r>
        <w:rPr>
          <w:rFonts w:cs="Arial" w:ascii="Verdana" w:hAnsi="Verdana"/>
          <w:b w:val="false"/>
          <w:bCs w:val="false"/>
          <w:color w:val="000000"/>
          <w:spacing w:val="-8"/>
          <w:sz w:val="22"/>
          <w:szCs w:val="22"/>
        </w:rPr>
        <w:t xml:space="preserve"> </w:t>
      </w:r>
      <w:r>
        <w:rPr>
          <w:rFonts w:cs="Arial" w:ascii="Verdana" w:hAnsi="Verdana"/>
          <w:b w:val="false"/>
          <w:bCs w:val="false"/>
          <w:color w:val="000000"/>
          <w:sz w:val="22"/>
          <w:szCs w:val="22"/>
        </w:rPr>
        <w:t>no presente item por declaração formal assinada pelo seu responsável técnico acerca do conhecimento pleno das condições e peculiaridades da c</w:t>
      </w:r>
      <w:r>
        <w:rPr>
          <w:rFonts w:cs="Arial" w:ascii="Verdana" w:hAnsi="Verdana"/>
          <w:color w:val="000000"/>
          <w:sz w:val="22"/>
          <w:szCs w:val="22"/>
        </w:rPr>
        <w:t>ontratação, desde que seja anexada junto a documentação de habilitação.</w:t>
      </w:r>
    </w:p>
    <w:p>
      <w:pPr>
        <w:pStyle w:val="Normal"/>
        <w:spacing w:lineRule="auto" w:line="240" w:before="0" w:after="0"/>
        <w:jc w:val="both"/>
        <w:rPr>
          <w:rFonts w:ascii="Verdana" w:hAnsi="Verdana" w:cs="Arial"/>
          <w:b/>
          <w:sz w:val="22"/>
          <w:szCs w:val="22"/>
          <w:u w:val="single"/>
        </w:rPr>
      </w:pPr>
      <w:r>
        <w:rPr>
          <w:rFonts w:cs="Arial" w:ascii="Verdana" w:hAnsi="Verdana"/>
          <w:b/>
          <w:sz w:val="22"/>
          <w:szCs w:val="22"/>
          <w:u w:val="single"/>
        </w:rPr>
      </w:r>
    </w:p>
    <w:p>
      <w:pPr>
        <w:pStyle w:val="Normal"/>
        <w:shd w:val="clear" w:fill="FFFFFF"/>
        <w:spacing w:lineRule="auto" w:line="360"/>
        <w:jc w:val="both"/>
        <w:rPr>
          <w:rFonts w:ascii="Verdana" w:hAnsi="Verdana"/>
          <w:sz w:val="22"/>
          <w:szCs w:val="22"/>
        </w:rPr>
      </w:pPr>
      <w:r>
        <w:rPr>
          <w:rFonts w:ascii="Verdana" w:hAnsi="Verdana"/>
          <w:b/>
          <w:bCs/>
          <w:sz w:val="22"/>
          <w:szCs w:val="22"/>
        </w:rPr>
        <w:t xml:space="preserve">5. MODELO DE EXECUÇÃO CONTRATUAL </w:t>
      </w:r>
    </w:p>
    <w:p>
      <w:pPr>
        <w:pStyle w:val="Normal"/>
        <w:tabs>
          <w:tab w:val="clear" w:pos="708"/>
          <w:tab w:val="left" w:pos="508" w:leader="none"/>
        </w:tabs>
        <w:spacing w:lineRule="auto" w:line="360"/>
        <w:ind w:hanging="0" w:left="0" w:right="0"/>
        <w:jc w:val="both"/>
        <w:rPr>
          <w:rFonts w:ascii="Verdana" w:hAnsi="Verdana"/>
          <w:sz w:val="22"/>
          <w:szCs w:val="22"/>
        </w:rPr>
      </w:pPr>
      <w:r>
        <w:rPr>
          <w:rFonts w:ascii="Verdana" w:hAnsi="Verdana"/>
          <w:sz w:val="22"/>
          <w:szCs w:val="22"/>
        </w:rPr>
        <w:t xml:space="preserve">5.1. O prazo de execução dos serviços será de acordo </w:t>
      </w:r>
      <w:r>
        <w:rPr>
          <w:rFonts w:cs="Arial" w:ascii="Verdana" w:hAnsi="Verdana"/>
          <w:sz w:val="22"/>
          <w:szCs w:val="22"/>
        </w:rPr>
        <w:t xml:space="preserve">com o cronograma estabelecido nas planilhas e projetos em anexo nos autos e no contrato a ser celebrado </w:t>
      </w:r>
      <w:r>
        <w:rPr>
          <w:rFonts w:eastAsia="Times New Roman" w:cs="Arial" w:ascii="Verdana" w:hAnsi="Verdana"/>
          <w:b w:val="false"/>
          <w:bCs w:val="false"/>
          <w:iCs/>
          <w:color w:val="000000"/>
          <w:sz w:val="22"/>
          <w:szCs w:val="22"/>
          <w:u w:val="none"/>
        </w:rPr>
        <w:t>(após a assinatura do contrato e emissão da Autorização da Ordem de Serviços a obra deve ser  entregue em até 30 (trinta), dias conforme descrito no DFD e planilhas em anexo).</w:t>
      </w:r>
    </w:p>
    <w:p>
      <w:pPr>
        <w:pStyle w:val="Normal"/>
        <w:tabs>
          <w:tab w:val="clear" w:pos="708"/>
          <w:tab w:val="left" w:pos="508" w:leader="none"/>
        </w:tabs>
        <w:spacing w:lineRule="auto" w:line="360"/>
        <w:ind w:hanging="0" w:left="0" w:right="0"/>
        <w:jc w:val="both"/>
        <w:rPr>
          <w:rFonts w:ascii="Verdana" w:hAnsi="Verdana"/>
          <w:b w:val="false"/>
          <w:bCs w:val="false"/>
          <w:sz w:val="22"/>
          <w:szCs w:val="22"/>
        </w:rPr>
      </w:pPr>
      <w:r>
        <w:rPr>
          <w:rFonts w:cs="Arial" w:ascii="Verdana" w:hAnsi="Verdana"/>
          <w:b w:val="false"/>
          <w:bCs w:val="false"/>
          <w:sz w:val="22"/>
          <w:szCs w:val="22"/>
          <w:shd w:fill="auto" w:val="clear"/>
        </w:rPr>
        <w:t xml:space="preserve">5.1.1. </w:t>
      </w:r>
      <w:r>
        <w:rPr>
          <w:rFonts w:ascii="Verdana" w:hAnsi="Verdana"/>
          <w:b w:val="false"/>
          <w:bCs w:val="false"/>
          <w:sz w:val="22"/>
          <w:szCs w:val="22"/>
          <w:shd w:fill="auto" w:val="clear"/>
        </w:rPr>
        <w:t xml:space="preserve"> </w:t>
      </w:r>
      <w:r>
        <w:rPr>
          <w:rFonts w:eastAsia="Times New Roman" w:cs="Arial" w:ascii="Verdana" w:hAnsi="Verdana"/>
          <w:b w:val="false"/>
          <w:bCs w:val="false"/>
          <w:color w:val="000000"/>
          <w:kern w:val="0"/>
          <w:sz w:val="22"/>
          <w:szCs w:val="22"/>
          <w:shd w:fill="auto" w:val="clear"/>
          <w:lang w:val="pt-BR" w:eastAsia="zh-CN" w:bidi="ar-SA"/>
        </w:rPr>
        <w:t xml:space="preserve">Os serviços serão executados na </w:t>
      </w:r>
      <w:r>
        <w:rPr>
          <w:rFonts w:eastAsia="Calibri" w:cs="Arial" w:ascii="Verdana" w:hAnsi="Verdana"/>
          <w:b w:val="false"/>
          <w:bCs w:val="false"/>
          <w:color w:val="000000"/>
          <w:kern w:val="0"/>
          <w:sz w:val="22"/>
          <w:szCs w:val="22"/>
          <w:shd w:fill="auto" w:val="clear"/>
          <w:lang w:val="pt-BR" w:eastAsia="en-US" w:bidi="ar-SA"/>
        </w:rPr>
        <w:t>Rua Ivan Luiz Barcelos, nº 104, Bairro Glória, São Gabriel da Palha.</w:t>
      </w:r>
    </w:p>
    <w:p>
      <w:pPr>
        <w:pStyle w:val="Normal"/>
        <w:spacing w:lineRule="auto" w:line="360"/>
        <w:jc w:val="both"/>
        <w:rPr>
          <w:rFonts w:ascii="Verdana" w:hAnsi="Verdana"/>
          <w:b w:val="false"/>
          <w:bCs w:val="false"/>
          <w:sz w:val="22"/>
          <w:szCs w:val="22"/>
        </w:rPr>
      </w:pPr>
      <w:r>
        <w:rPr>
          <w:rFonts w:cs="Arial" w:ascii="Verdana" w:hAnsi="Verdana"/>
          <w:b w:val="false"/>
          <w:bCs w:val="false"/>
          <w:sz w:val="22"/>
          <w:szCs w:val="22"/>
          <w:shd w:fill="auto" w:val="clear"/>
        </w:rPr>
        <w:t>CEP 29.7800-00</w:t>
      </w:r>
      <w:r>
        <w:rPr>
          <w:rFonts w:cs="Arial" w:ascii="Verdana" w:hAnsi="Verdana"/>
          <w:b w:val="false"/>
          <w:bCs w:val="false"/>
          <w:sz w:val="22"/>
          <w:szCs w:val="22"/>
        </w:rPr>
        <w:t>0</w:t>
      </w:r>
    </w:p>
    <w:p>
      <w:pPr>
        <w:pStyle w:val="Normal"/>
        <w:tabs>
          <w:tab w:val="clear" w:pos="708"/>
          <w:tab w:val="left" w:pos="508" w:leader="none"/>
        </w:tabs>
        <w:spacing w:lineRule="auto" w:line="360"/>
        <w:ind w:hanging="0" w:left="0" w:right="0"/>
        <w:jc w:val="both"/>
        <w:rPr>
          <w:rFonts w:ascii="Verdana" w:hAnsi="Verdana"/>
          <w:b w:val="false"/>
          <w:bCs w:val="false"/>
          <w:sz w:val="22"/>
          <w:szCs w:val="22"/>
        </w:rPr>
      </w:pPr>
      <w:r>
        <w:rPr>
          <w:rFonts w:eastAsia="Times New Roman" w:cs="Arial" w:ascii="Verdana" w:hAnsi="Verdana"/>
          <w:b w:val="false"/>
          <w:bCs w:val="false"/>
          <w:color w:val="000000"/>
          <w:sz w:val="22"/>
          <w:szCs w:val="22"/>
          <w:u w:val="none"/>
        </w:rPr>
        <w:t>5.1.2 CONTATO</w:t>
      </w:r>
    </w:p>
    <w:p>
      <w:pPr>
        <w:pStyle w:val="Normal"/>
        <w:spacing w:lineRule="auto" w:line="360"/>
        <w:jc w:val="both"/>
        <w:rPr>
          <w:rFonts w:ascii="Verdana" w:hAnsi="Verdana"/>
          <w:b w:val="false"/>
          <w:bCs w:val="false"/>
          <w:sz w:val="22"/>
          <w:szCs w:val="22"/>
        </w:rPr>
      </w:pPr>
      <w:r>
        <w:rPr>
          <w:rFonts w:cs="Arial" w:ascii="Verdana" w:hAnsi="Verdana"/>
          <w:b w:val="false"/>
          <w:bCs w:val="false"/>
          <w:sz w:val="22"/>
          <w:szCs w:val="22"/>
        </w:rPr>
        <w:t>E-mail: administracao@saogabriel.es.gov.br</w:t>
      </w:r>
    </w:p>
    <w:p>
      <w:pPr>
        <w:pStyle w:val="Normal"/>
        <w:spacing w:lineRule="auto" w:line="360"/>
        <w:jc w:val="both"/>
        <w:rPr>
          <w:rFonts w:ascii="Verdana" w:hAnsi="Verdana"/>
          <w:b w:val="false"/>
          <w:bCs w:val="false"/>
          <w:sz w:val="22"/>
          <w:szCs w:val="22"/>
        </w:rPr>
      </w:pPr>
      <w:r>
        <w:rPr>
          <w:rFonts w:cs="Arial" w:ascii="Verdana" w:hAnsi="Verdana"/>
          <w:b w:val="false"/>
          <w:bCs w:val="false"/>
          <w:sz w:val="22"/>
          <w:szCs w:val="22"/>
        </w:rPr>
        <w:t>Responsável: Secretaria Municipal de Administração</w:t>
      </w:r>
    </w:p>
    <w:p>
      <w:pPr>
        <w:pStyle w:val="Normal"/>
        <w:tabs>
          <w:tab w:val="clear" w:pos="708"/>
          <w:tab w:val="left" w:pos="508" w:leader="none"/>
        </w:tabs>
        <w:spacing w:lineRule="auto" w:line="360"/>
        <w:ind w:hanging="0" w:left="0" w:right="0"/>
        <w:jc w:val="both"/>
        <w:rPr>
          <w:rFonts w:ascii="Verdana" w:hAnsi="Verdana"/>
          <w:sz w:val="22"/>
          <w:szCs w:val="22"/>
        </w:rPr>
      </w:pPr>
      <w:r>
        <w:rPr>
          <w:rFonts w:eastAsia="Times New Roman" w:cs="Times New Roman" w:ascii="Verdana" w:hAnsi="Verdana"/>
          <w:b w:val="false"/>
          <w:bCs w:val="false"/>
          <w:i w:val="false"/>
          <w:iCs w:val="false"/>
          <w:color w:val="000000"/>
          <w:sz w:val="22"/>
          <w:szCs w:val="22"/>
        </w:rPr>
        <w:t xml:space="preserve">5.2. </w:t>
      </w:r>
      <w:r>
        <w:rPr>
          <w:rFonts w:eastAsia="Times New Roman" w:cs="Arial" w:ascii="Verdana" w:hAnsi="Verdana"/>
          <w:b w:val="false"/>
          <w:bCs w:val="false"/>
          <w:i w:val="false"/>
          <w:iCs w:val="false"/>
          <w:color w:val="000000"/>
          <w:sz w:val="22"/>
          <w:szCs w:val="22"/>
        </w:rPr>
        <w:t>O recebimento provisório ou definitivo do objeto não e</w:t>
      </w:r>
      <w:r>
        <w:rPr>
          <w:rFonts w:eastAsia="Times New Roman" w:cs="Arial" w:ascii="Verdana" w:hAnsi="Verdana"/>
          <w:i w:val="false"/>
          <w:iCs w:val="false"/>
          <w:color w:val="000000"/>
          <w:sz w:val="22"/>
          <w:szCs w:val="22"/>
        </w:rPr>
        <w:t>xclui a responsabilidade da contratada pelos prejuízos resultantes da incorreta execução do contrato.</w:t>
      </w:r>
    </w:p>
    <w:p>
      <w:pPr>
        <w:pStyle w:val="Normal"/>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i w:val="false"/>
          <w:iCs w:val="false"/>
          <w:color w:val="000000"/>
          <w:sz w:val="22"/>
          <w:szCs w:val="22"/>
        </w:rPr>
        <w:t>5.3. O contrato deverá ser executado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i w:val="false"/>
          <w:iCs w:val="false"/>
          <w:color w:val="000000"/>
          <w:sz w:val="22"/>
          <w:szCs w:val="22"/>
        </w:rPr>
        <w:t>5.4.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i w:val="false"/>
          <w:iCs w:val="false"/>
          <w:color w:val="000000"/>
          <w:sz w:val="22"/>
          <w:szCs w:val="22"/>
        </w:rPr>
        <w:t>5.5. O órgão ou entidade poderá convocar representante da empresa para adoção de Providências que devam ser cumpridas de imediato.</w:t>
      </w:r>
    </w:p>
    <w:p>
      <w:pPr>
        <w:pStyle w:val="ListParagraph"/>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5.6.</w:t>
      </w:r>
      <w:r>
        <w:rPr>
          <w:rFonts w:eastAsia="Times New Roman" w:cs="Arial" w:ascii="Verdana" w:hAnsi="Verdana"/>
          <w:i w:val="false"/>
          <w:iCs w:val="false"/>
          <w:color w:val="000000"/>
          <w:sz w:val="22"/>
          <w:szCs w:val="22"/>
        </w:rPr>
        <w:t xml:space="preserve"> A conferência/fiscalização deverá ser acompanhada por um servidor </w:t>
      </w:r>
      <w:r>
        <w:rPr>
          <w:rFonts w:eastAsia="Times New Roman" w:cs="Times New Roman" w:ascii="Verdana" w:hAnsi="Verdana"/>
          <w:i w:val="false"/>
          <w:iCs w:val="false"/>
          <w:color w:val="000000"/>
          <w:sz w:val="22"/>
          <w:szCs w:val="22"/>
        </w:rPr>
        <w:t>da secretaria requisitante</w:t>
      </w:r>
      <w:r>
        <w:rPr>
          <w:rFonts w:eastAsia="Times New Roman" w:cs="Arial" w:ascii="Verdana" w:hAnsi="Verdana"/>
          <w:i w:val="false"/>
          <w:iCs w:val="false"/>
          <w:color w:val="000000"/>
          <w:sz w:val="22"/>
          <w:szCs w:val="22"/>
        </w:rPr>
        <w:t>, a fim de zelar pela qualidade e quantidade dos itens a serem adquiridos.</w:t>
      </w:r>
    </w:p>
    <w:p>
      <w:pPr>
        <w:pStyle w:val="ListParagraph"/>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i w:val="false"/>
          <w:iCs w:val="false"/>
          <w:color w:val="000000"/>
          <w:sz w:val="22"/>
          <w:szCs w:val="22"/>
        </w:rPr>
        <w:t xml:space="preserve">5.7. A Secretaria Municipal Educação juntamento com a Secretaria Municipal de </w:t>
      </w:r>
      <w:r>
        <w:rPr>
          <w:rFonts w:eastAsia="Times New Roman" w:cs="Arial" w:ascii="Verdana" w:hAnsi="Verdana"/>
          <w:i w:val="false"/>
          <w:iCs w:val="false"/>
          <w:color w:val="000000"/>
          <w:kern w:val="0"/>
          <w:sz w:val="22"/>
          <w:szCs w:val="22"/>
          <w:lang w:val="pt-BR" w:eastAsia="pt-BR" w:bidi="ar-SA"/>
        </w:rPr>
        <w:t xml:space="preserve">Obras e Desenvolvimento Urbano através do Departamento de Engenharia </w:t>
      </w:r>
      <w:r>
        <w:rPr>
          <w:rFonts w:eastAsia="Times New Roman" w:cs="Arial" w:ascii="Verdana" w:hAnsi="Verdana"/>
          <w:i w:val="false"/>
          <w:iCs w:val="false"/>
          <w:color w:val="000000"/>
          <w:sz w:val="22"/>
          <w:szCs w:val="22"/>
        </w:rPr>
        <w:t>deverá acompanhar, fiscalizar, comprovar e relatar, por escrito, as eventuais irregularidades na execução do contrato. Deverão ser nomeados quantidade de fiscais suficientes para um efetivo acompanhamento da execução do contrato e da obra.</w:t>
      </w:r>
    </w:p>
    <w:p>
      <w:pPr>
        <w:pStyle w:val="ListParagraph"/>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i w:val="false"/>
          <w:iCs w:val="false"/>
          <w:color w:val="000000"/>
          <w:sz w:val="22"/>
          <w:szCs w:val="22"/>
        </w:rPr>
        <w:t>5.8. O prazo previsto poderá ser prorrogado a critério da contratante se entender ser conveniente para a administração nos termos da lei.</w:t>
      </w:r>
    </w:p>
    <w:p>
      <w:pPr>
        <w:pStyle w:val="ListParagraph"/>
        <w:tabs>
          <w:tab w:val="clear" w:pos="708"/>
          <w:tab w:val="left" w:pos="508" w:leader="none"/>
        </w:tabs>
        <w:spacing w:lineRule="auto" w:line="360"/>
        <w:ind w:hanging="0" w:left="0" w:right="0"/>
        <w:jc w:val="both"/>
        <w:rPr>
          <w:rFonts w:ascii="Verdana" w:hAnsi="Verdana"/>
          <w:sz w:val="22"/>
          <w:szCs w:val="22"/>
        </w:rPr>
      </w:pPr>
      <w:r>
        <w:rPr>
          <w:rFonts w:eastAsia="Times New Roman" w:cs="Arial" w:ascii="Verdana" w:hAnsi="Verdana"/>
          <w:i w:val="false"/>
          <w:iCs w:val="false"/>
          <w:color w:val="000000"/>
          <w:sz w:val="22"/>
          <w:szCs w:val="22"/>
        </w:rPr>
        <w:t xml:space="preserve">5.9. </w:t>
      </w:r>
      <w:r>
        <w:rPr>
          <w:rFonts w:eastAsia="Times New Roman" w:cs="Arial" w:ascii="Verdana" w:hAnsi="Verdana"/>
          <w:b/>
          <w:bCs/>
          <w:i w:val="false"/>
          <w:iCs w:val="false"/>
          <w:color w:val="000000"/>
          <w:sz w:val="22"/>
          <w:szCs w:val="22"/>
        </w:rPr>
        <w:t xml:space="preserve"> </w:t>
      </w:r>
      <w:r>
        <w:rPr>
          <w:rFonts w:eastAsia="Times New Roman" w:cs="Arial" w:ascii="Verdana" w:hAnsi="Verdana"/>
          <w:i w:val="false"/>
          <w:iCs w:val="false"/>
          <w:color w:val="000000"/>
          <w:sz w:val="22"/>
          <w:szCs w:val="22"/>
        </w:rPr>
        <w:t>No caso de descontinuidade e/ou paralisação, o gestor do contrato tomará as providências cabíveis, de acordo com cláusulas do edital e contrato, visando sanar problemas por ventura ocorridos.</w:t>
      </w:r>
    </w:p>
    <w:p>
      <w:pPr>
        <w:pStyle w:val="ListParagraph"/>
        <w:tabs>
          <w:tab w:val="clear" w:pos="708"/>
          <w:tab w:val="left" w:pos="508" w:leader="none"/>
        </w:tabs>
        <w:spacing w:lineRule="auto" w:line="240"/>
        <w:ind w:hanging="0" w:left="0" w:right="0"/>
        <w:jc w:val="both"/>
        <w:rPr>
          <w:rFonts w:ascii="Verdana" w:hAnsi="Verdana" w:cs="Arial"/>
          <w:b/>
          <w:sz w:val="22"/>
          <w:szCs w:val="22"/>
          <w:u w:val="single"/>
        </w:rPr>
      </w:pPr>
      <w:r>
        <w:rPr>
          <w:rFonts w:cs="Arial" w:ascii="Verdana" w:hAnsi="Verdana"/>
          <w:b/>
          <w:sz w:val="22"/>
          <w:szCs w:val="22"/>
          <w:u w:val="single"/>
        </w:rPr>
      </w:r>
    </w:p>
    <w:p>
      <w:pPr>
        <w:pStyle w:val="Normal"/>
        <w:spacing w:lineRule="auto" w:line="360"/>
        <w:ind w:hanging="0" w:left="0" w:right="0"/>
        <w:jc w:val="both"/>
        <w:rPr>
          <w:rFonts w:ascii="Verdana" w:hAnsi="Verdana"/>
          <w:sz w:val="22"/>
          <w:szCs w:val="22"/>
        </w:rPr>
      </w:pPr>
      <w:r>
        <w:rPr>
          <w:rFonts w:cs="Arial" w:ascii="Verdana" w:hAnsi="Verdana"/>
          <w:b/>
          <w:bCs/>
          <w:i w:val="false"/>
          <w:iCs w:val="false"/>
          <w:color w:val="000000"/>
          <w:sz w:val="22"/>
          <w:szCs w:val="22"/>
        </w:rPr>
        <w:t>6. OBRIGAÇÕES DA CONTRATANTE</w:t>
      </w:r>
    </w:p>
    <w:p>
      <w:pPr>
        <w:pStyle w:val="Normal"/>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6.1. Constituem obrigações da Contratante, além de outras previstas no Contrato, Termo de Referência, no Edital e seus anexos:</w:t>
      </w:r>
    </w:p>
    <w:p>
      <w:pPr>
        <w:pStyle w:val="Normal"/>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6.2.  Contratar o serviço no prazo e condições estabelecidas no Edital e seus anexos.</w:t>
      </w:r>
    </w:p>
    <w:p>
      <w:pPr>
        <w:pStyle w:val="Normal"/>
        <w:tabs>
          <w:tab w:val="clear" w:pos="708"/>
          <w:tab w:val="left" w:pos="508" w:leader="none"/>
        </w:tabs>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6.3. Verificar a conformidade dos serviços prestados de acordo com as especificações constantes no Contrato, Termo de Referência, Edital e seus anexos.</w:t>
      </w:r>
    </w:p>
    <w:p>
      <w:pPr>
        <w:pStyle w:val="Normal"/>
        <w:tabs>
          <w:tab w:val="clear" w:pos="708"/>
          <w:tab w:val="left" w:pos="508" w:leader="none"/>
        </w:tabs>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6.4. Comunicar a Contratada, por escrito, sobre imperfeições, falhas ou irregularidades verificadas no objeto contratado, para que tome as providências cabíveis.</w:t>
      </w:r>
    </w:p>
    <w:p>
      <w:pPr>
        <w:pStyle w:val="Normal"/>
        <w:tabs>
          <w:tab w:val="clear" w:pos="708"/>
          <w:tab w:val="left" w:pos="508" w:leader="none"/>
        </w:tabs>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6.5.  Acompanhar e fiscalizar o cumprimento das obrigações da Contratada.</w:t>
      </w:r>
    </w:p>
    <w:p>
      <w:pPr>
        <w:pStyle w:val="Normal"/>
        <w:tabs>
          <w:tab w:val="clear" w:pos="708"/>
          <w:tab w:val="left" w:pos="508" w:leader="none"/>
        </w:tabs>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 xml:space="preserve">6.6. Efetuar o pagamento à Contratada no valor correspondente à prestação do objeto, no prazo e forma estabelecidos no Edital e seus anexo. </w:t>
      </w:r>
    </w:p>
    <w:p>
      <w:pPr>
        <w:pStyle w:val="Normal"/>
        <w:tabs>
          <w:tab w:val="clear" w:pos="708"/>
          <w:tab w:val="left" w:pos="508" w:leader="none"/>
        </w:tabs>
        <w:spacing w:lineRule="auto" w:line="360" w:before="57" w:after="57"/>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pPr>
        <w:pStyle w:val="Normal"/>
        <w:spacing w:lineRule="auto" w:line="360"/>
        <w:ind w:hanging="0" w:left="0" w:right="0"/>
        <w:jc w:val="both"/>
        <w:rPr>
          <w:rFonts w:ascii="Verdana" w:hAnsi="Verdana"/>
          <w:sz w:val="22"/>
          <w:szCs w:val="22"/>
        </w:rPr>
      </w:pPr>
      <w:r>
        <w:rPr>
          <w:rFonts w:cs="Arial" w:ascii="Verdana" w:hAnsi="Verdana"/>
          <w:b w:val="false"/>
          <w:bCs w:val="false"/>
          <w:sz w:val="22"/>
          <w:szCs w:val="22"/>
        </w:rPr>
        <w:t>6.8. Disponibilizar o local para execução dos serviços.</w:t>
      </w:r>
    </w:p>
    <w:p>
      <w:pPr>
        <w:pStyle w:val="Normal"/>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6.9. </w:t>
      </w:r>
      <w:r>
        <w:rPr>
          <w:rFonts w:cs="Arial" w:ascii="Verdana" w:hAnsi="Verdana"/>
          <w:b w:val="false"/>
          <w:bCs w:val="false"/>
          <w:sz w:val="22"/>
          <w:szCs w:val="22"/>
        </w:rPr>
        <w:t>P</w:t>
      </w:r>
      <w:r>
        <w:rPr>
          <w:rFonts w:cs="Arial" w:ascii="Verdana" w:hAnsi="Verdana"/>
          <w:sz w:val="22"/>
          <w:szCs w:val="22"/>
        </w:rPr>
        <w:t>restar informações e os esclarecimentos solicitados pela empresa, relacionados com o objeto pactuado.</w:t>
      </w:r>
    </w:p>
    <w:p>
      <w:pPr>
        <w:pStyle w:val="Normal"/>
        <w:spacing w:lineRule="auto" w:line="240" w:before="0" w:after="0"/>
        <w:ind w:hanging="0" w:left="0" w:right="0"/>
        <w:jc w:val="both"/>
        <w:rPr>
          <w:rFonts w:ascii="Verdana" w:hAnsi="Verdana" w:cs="Arial"/>
          <w:b/>
          <w:sz w:val="22"/>
          <w:szCs w:val="22"/>
          <w:u w:val="single"/>
        </w:rPr>
      </w:pPr>
      <w:r>
        <w:rPr>
          <w:rFonts w:cs="Arial" w:ascii="Verdana" w:hAnsi="Verdana"/>
          <w:b/>
          <w:sz w:val="22"/>
          <w:szCs w:val="22"/>
          <w:u w:val="single"/>
        </w:rPr>
      </w:r>
    </w:p>
    <w:p>
      <w:pPr>
        <w:pStyle w:val="Normal"/>
        <w:spacing w:lineRule="auto" w:line="360"/>
        <w:ind w:hanging="0" w:left="0" w:right="0"/>
        <w:jc w:val="both"/>
        <w:rPr>
          <w:rFonts w:ascii="Verdana" w:hAnsi="Verdana"/>
          <w:sz w:val="22"/>
          <w:szCs w:val="22"/>
        </w:rPr>
      </w:pPr>
      <w:r>
        <w:rPr>
          <w:rFonts w:cs="Arial" w:ascii="Verdana" w:hAnsi="Verdana"/>
          <w:b/>
          <w:bCs/>
          <w:i w:val="false"/>
          <w:iCs w:val="false"/>
          <w:color w:val="000000"/>
          <w:sz w:val="22"/>
          <w:szCs w:val="22"/>
        </w:rPr>
        <w:t>7. OBRIGAÇÕES DA CONTRATADA</w:t>
      </w:r>
    </w:p>
    <w:p>
      <w:pPr>
        <w:pStyle w:val="Normal"/>
        <w:spacing w:lineRule="auto" w:line="360"/>
        <w:ind w:hanging="0" w:left="0" w:right="0"/>
        <w:jc w:val="both"/>
        <w:rPr>
          <w:rFonts w:ascii="Verdana" w:hAnsi="Verdana"/>
          <w:sz w:val="22"/>
          <w:szCs w:val="22"/>
        </w:rPr>
      </w:pPr>
      <w:r>
        <w:rPr>
          <w:rFonts w:cs="Arial" w:ascii="Verdana" w:hAnsi="Verdana"/>
          <w:b w:val="false"/>
          <w:bCs w:val="false"/>
          <w:i w:val="false"/>
          <w:iCs w:val="false"/>
          <w:color w:val="000000"/>
          <w:sz w:val="22"/>
          <w:szCs w:val="22"/>
        </w:rPr>
        <w:t>7.1. A Contratada deve cumprir todas as obrigações constantes no Contrato, Memorial Descritivo, neste Termo de Referência, seus anexos e sua proposta, assumindo como exclusivamente seus os riscos e as despesas decorrentes da boa e perfeita execução do objeto.</w:t>
      </w:r>
    </w:p>
    <w:p>
      <w:pPr>
        <w:pStyle w:val="Normal"/>
        <w:spacing w:lineRule="auto" w:line="360"/>
        <w:ind w:hanging="0" w:left="0" w:right="0"/>
        <w:jc w:val="both"/>
        <w:rPr>
          <w:rFonts w:ascii="Verdana" w:hAnsi="Verdana"/>
          <w:sz w:val="22"/>
          <w:szCs w:val="22"/>
        </w:rPr>
      </w:pPr>
      <w:r>
        <w:rPr>
          <w:rFonts w:cs="Arial" w:ascii="Verdana" w:hAnsi="Verdana"/>
          <w:b w:val="false"/>
          <w:bCs w:val="false"/>
          <w:i w:val="false"/>
          <w:iCs w:val="false"/>
          <w:color w:val="000000"/>
          <w:sz w:val="22"/>
          <w:szCs w:val="22"/>
        </w:rPr>
        <w:t>7.2. Efetuar as vistorias e demais serviços, conforme especificações, prazo e local constantes no Contrato, Termo de Referência e seus anexos, acompanhado da respectiva nota fiscal.</w:t>
      </w:r>
    </w:p>
    <w:p>
      <w:pPr>
        <w:pStyle w:val="Normal"/>
        <w:tabs>
          <w:tab w:val="clear" w:pos="708"/>
          <w:tab w:val="left" w:pos="5220"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7.3.</w:t>
      </w:r>
      <w:r>
        <w:rPr>
          <w:rFonts w:cs="Arial" w:ascii="Verdana" w:hAnsi="Verdana"/>
          <w:b w:val="false"/>
          <w:bCs w:val="false"/>
          <w:sz w:val="22"/>
          <w:szCs w:val="22"/>
        </w:rPr>
        <w:t xml:space="preserve"> Apresentar a matrícula CEI da obra junto ao INSS. </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7.4.</w:t>
      </w:r>
      <w:r>
        <w:rPr>
          <w:rFonts w:eastAsia="Times New Roman" w:cs="Arial" w:ascii="Verdana" w:hAnsi="Verdana"/>
          <w:b/>
          <w:bCs/>
          <w:sz w:val="22"/>
          <w:szCs w:val="22"/>
        </w:rPr>
        <w:t xml:space="preserve"> </w:t>
      </w:r>
      <w:r>
        <w:rPr>
          <w:rFonts w:cs="Arial" w:ascii="Verdana" w:hAnsi="Verdana"/>
          <w:sz w:val="22"/>
          <w:szCs w:val="22"/>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pPr>
        <w:pStyle w:val="Normal"/>
        <w:tabs>
          <w:tab w:val="clear" w:pos="708"/>
          <w:tab w:val="left" w:pos="142" w:leader="none"/>
        </w:tabs>
        <w:spacing w:lineRule="auto" w:line="360"/>
        <w:ind w:hanging="0" w:left="0" w:right="0"/>
        <w:jc w:val="both"/>
        <w:rPr>
          <w:rFonts w:ascii="Verdana" w:hAnsi="Verdana"/>
          <w:sz w:val="22"/>
          <w:szCs w:val="22"/>
        </w:rPr>
      </w:pPr>
      <w:r>
        <w:rPr>
          <w:rFonts w:cs="Arial" w:ascii="Verdana" w:hAnsi="Verdana"/>
          <w:b w:val="false"/>
          <w:bCs w:val="false"/>
          <w:sz w:val="22"/>
          <w:szCs w:val="22"/>
        </w:rPr>
        <w:t>7.5. Apresentar cópia da GFIP com as informações referentes à obra, da folha de pagamento específica para a obra e do documento de arrecadação identificado com a matrícula CEI.</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7.6. </w:t>
      </w:r>
      <w:r>
        <w:rPr>
          <w:rFonts w:cs="Arial" w:ascii="Verdana" w:hAnsi="Verdana"/>
          <w:b w:val="false"/>
          <w:bCs w:val="false"/>
          <w:sz w:val="22"/>
          <w:szCs w:val="22"/>
        </w:rPr>
        <w:t>Apresentar os documentos de cobrança, inclusive NOTA FISCAL, com a descrição dos serviços realizados.</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7.7.</w:t>
      </w:r>
      <w:r>
        <w:rPr>
          <w:rFonts w:cs="Arial" w:ascii="Verdana" w:hAnsi="Verdana"/>
          <w:b w:val="false"/>
          <w:bCs w:val="false"/>
          <w:sz w:val="22"/>
          <w:szCs w:val="22"/>
        </w:rPr>
        <w:t xml:space="preserve"> Assumir inteira responsabilidade civil, administrativa e penal por quaisquer danos e prejuízos, aos equipamentos ou pessoas, causados pela CONTRATADA, seus empregados, ou prepostos à CONTRATANTE ou a terceiros.</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7.8.</w:t>
      </w:r>
      <w:r>
        <w:rPr>
          <w:rFonts w:cs="Arial" w:ascii="Verdana" w:hAnsi="Verdana"/>
          <w:b w:val="false"/>
          <w:bCs w:val="false"/>
          <w:sz w:val="22"/>
          <w:szCs w:val="22"/>
        </w:rPr>
        <w:t xml:space="preserve"> Obriga-se a CONTRATADA, mediante solicitação da CONTRATANTE, a orçar previamente eventual execução de serviços não cobertos pelo objeto do Contrato.</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7.9. </w:t>
      </w:r>
      <w:r>
        <w:rPr>
          <w:rFonts w:cs="Arial" w:ascii="Verdana" w:hAnsi="Verdana"/>
          <w:b w:val="false"/>
          <w:bCs w:val="false"/>
          <w:sz w:val="22"/>
          <w:szCs w:val="22"/>
        </w:rPr>
        <w:t>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7.10. </w:t>
      </w:r>
      <w:r>
        <w:rPr>
          <w:rFonts w:cs="Arial" w:ascii="Verdana" w:hAnsi="Verdana"/>
          <w:b w:val="false"/>
          <w:bCs w:val="false"/>
          <w:sz w:val="22"/>
          <w:szCs w:val="22"/>
        </w:rPr>
        <w:t>Manter durante a vigência do Contrato todas as condições de habilitação e qualificação exigidas pela legislação em vigor.</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7.11. </w:t>
      </w:r>
      <w:r>
        <w:rPr>
          <w:rFonts w:cs="Arial" w:ascii="Verdana" w:hAnsi="Verdana"/>
          <w:b w:val="false"/>
          <w:bCs w:val="false"/>
          <w:sz w:val="22"/>
          <w:szCs w:val="22"/>
        </w:rPr>
        <w:t>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7.12. </w:t>
      </w:r>
      <w:r>
        <w:rPr>
          <w:rFonts w:cs="Arial" w:ascii="Verdana" w:hAnsi="Verdana"/>
          <w:b w:val="false"/>
          <w:bCs w:val="false"/>
          <w:sz w:val="22"/>
          <w:szCs w:val="22"/>
        </w:rPr>
        <w:t>Providenciar a colocação, em tempo hábil, de todos os materiais e equipamentos necessários ao andamento dos serviços, dentro da programação prevista; o equipamento deve ser de nível tecnológico adequado e em prefeita condição de funcionament</w:t>
      </w:r>
      <w:r>
        <w:rPr>
          <w:rFonts w:cs="Arial" w:ascii="Verdana" w:hAnsi="Verdana"/>
          <w:sz w:val="22"/>
          <w:szCs w:val="22"/>
        </w:rPr>
        <w:t>o.</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7.13</w:t>
      </w:r>
      <w:r>
        <w:rPr>
          <w:rFonts w:eastAsia="Times New Roman" w:cs="Arial" w:ascii="Verdana" w:hAnsi="Verdana"/>
          <w:b/>
          <w:bCs/>
          <w:sz w:val="22"/>
          <w:szCs w:val="22"/>
        </w:rPr>
        <w:t xml:space="preserve">. </w:t>
      </w:r>
      <w:r>
        <w:rPr>
          <w:rFonts w:cs="Arial" w:ascii="Verdana" w:hAnsi="Verdana"/>
          <w:sz w:val="22"/>
          <w:szCs w:val="22"/>
        </w:rPr>
        <w:t xml:space="preserve"> Executar a obra empregando exclusivamente materiais de primeira qualidade e obedecendo rigorosamente ao projeto de Engenharia fornecido pela Prefeitura Municipal de São Gabriel da Palha;</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7.14.</w:t>
      </w:r>
      <w:r>
        <w:rPr>
          <w:rFonts w:eastAsia="Times New Roman" w:cs="Arial" w:ascii="Verdana" w:hAnsi="Verdana"/>
          <w:b/>
          <w:bCs/>
          <w:sz w:val="22"/>
          <w:szCs w:val="22"/>
        </w:rPr>
        <w:t xml:space="preserve"> </w:t>
      </w:r>
      <w:r>
        <w:rPr>
          <w:rFonts w:cs="Arial" w:ascii="Verdana" w:hAnsi="Verdana"/>
          <w:sz w:val="22"/>
          <w:szCs w:val="22"/>
        </w:rPr>
        <w:t xml:space="preserve">Cumprir e fazer cumprir os dispositivos legais pertinentes aos elementos de defesa e preservação do meio ambiente relativamente às legislações em nível federal, estadual e municipal; </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7.15. </w:t>
      </w:r>
      <w:r>
        <w:rPr>
          <w:rFonts w:cs="Arial" w:ascii="Verdana" w:hAnsi="Verdana"/>
          <w:b w:val="false"/>
          <w:bCs w:val="false"/>
          <w:sz w:val="22"/>
          <w:szCs w:val="22"/>
        </w:rPr>
        <w:t>Permitir e facilitar aos fiscais da Prefeitura de São Gabriel da Palha a inspeção ao local da obra em qualquer dia e hora, prestando todos informes e esclarecimentos solicitados, relacionados com os serviços contratados.</w:t>
      </w:r>
    </w:p>
    <w:p>
      <w:pPr>
        <w:pStyle w:val="Normal"/>
        <w:tabs>
          <w:tab w:val="clear" w:pos="708"/>
          <w:tab w:val="left" w:pos="142" w:leader="none"/>
        </w:tabs>
        <w:spacing w:lineRule="auto" w:line="360"/>
        <w:ind w:hanging="0" w:left="0" w:right="0"/>
        <w:jc w:val="both"/>
        <w:rPr>
          <w:rFonts w:ascii="Verdana" w:hAnsi="Verdana"/>
          <w:sz w:val="22"/>
          <w:szCs w:val="22"/>
        </w:rPr>
      </w:pPr>
      <w:r>
        <w:rPr>
          <w:rFonts w:cs="Arial" w:ascii="Verdana" w:hAnsi="Verdana"/>
          <w:b w:val="false"/>
          <w:bCs w:val="false"/>
          <w:sz w:val="22"/>
          <w:szCs w:val="22"/>
        </w:rPr>
        <w:t xml:space="preserve">7.16. </w:t>
      </w:r>
      <w:r>
        <w:rPr>
          <w:rFonts w:cs="Arial" w:ascii="Verdana" w:hAnsi="Verdana"/>
          <w:sz w:val="22"/>
          <w:szCs w:val="22"/>
        </w:rPr>
        <w:t>Reforçar o seu parque de equipamento se for constatada a inadequação para realizar os serviços de acordo com o cronograma e/ou se, em virtude de atraso, for necessário este aumento do equipamento para recuperação do tempo perdido.</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7.17. </w:t>
      </w:r>
      <w:r>
        <w:rPr>
          <w:rFonts w:cs="Arial" w:ascii="Verdana" w:hAnsi="Verdana"/>
          <w:b w:val="false"/>
          <w:bCs w:val="false"/>
          <w:sz w:val="22"/>
          <w:szCs w:val="22"/>
        </w:rPr>
        <w:t>Reforçar a sua equipe de técnicos na obra, se ficar constatada insuficiência da mesma, para permitir a execução dos serviços dentro do prazo previsto.</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7.18.</w:t>
      </w:r>
      <w:r>
        <w:rPr>
          <w:rFonts w:cs="Arial" w:ascii="Verdana" w:hAnsi="Verdana"/>
          <w:sz w:val="22"/>
          <w:szCs w:val="22"/>
        </w:rPr>
        <w:t xml:space="preserve">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7.19. </w:t>
      </w:r>
      <w:r>
        <w:rPr>
          <w:rFonts w:cs="Arial" w:ascii="Verdana" w:hAnsi="Verdana"/>
          <w:b w:val="false"/>
          <w:bCs w:val="false"/>
          <w:sz w:val="22"/>
          <w:szCs w:val="22"/>
        </w:rPr>
        <w:t>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 xml:space="preserve">7.20. </w:t>
      </w:r>
      <w:r>
        <w:rPr>
          <w:rFonts w:cs="Arial" w:ascii="Verdana" w:hAnsi="Verdana"/>
          <w:b w:val="false"/>
          <w:bCs w:val="false"/>
          <w:sz w:val="22"/>
          <w:szCs w:val="22"/>
        </w:rPr>
        <w:t>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7.21.</w:t>
      </w:r>
      <w:r>
        <w:rPr>
          <w:rFonts w:cs="Arial" w:ascii="Verdana" w:hAnsi="Verdana"/>
          <w:b w:val="false"/>
          <w:bCs w:val="false"/>
          <w:sz w:val="22"/>
          <w:szCs w:val="22"/>
        </w:rPr>
        <w:t xml:space="preserve"> Executar a obra de acordo com a melhor técnica e nos padrões de segurança;</w:t>
      </w:r>
    </w:p>
    <w:p>
      <w:pPr>
        <w:pStyle w:val="Normal"/>
        <w:tabs>
          <w:tab w:val="clear" w:pos="708"/>
          <w:tab w:val="left" w:pos="142" w:leader="none"/>
        </w:tabs>
        <w:spacing w:lineRule="auto" w:line="360"/>
        <w:ind w:hanging="0" w:left="0" w:right="0"/>
        <w:jc w:val="both"/>
        <w:rPr>
          <w:rFonts w:ascii="Verdana" w:hAnsi="Verdana"/>
          <w:sz w:val="22"/>
          <w:szCs w:val="22"/>
        </w:rPr>
      </w:pPr>
      <w:r>
        <w:rPr>
          <w:rFonts w:eastAsia="Times New Roman" w:cs="Arial" w:ascii="Verdana" w:hAnsi="Verdana"/>
          <w:b w:val="false"/>
          <w:bCs w:val="false"/>
          <w:sz w:val="22"/>
          <w:szCs w:val="22"/>
        </w:rPr>
        <w:t>7.22.</w:t>
      </w:r>
      <w:r>
        <w:rPr>
          <w:rFonts w:cs="Arial" w:ascii="Verdana" w:hAnsi="Verdana"/>
          <w:b w:val="false"/>
          <w:bCs w:val="false"/>
          <w:sz w:val="22"/>
          <w:szCs w:val="22"/>
        </w:rPr>
        <w:t xml:space="preserve"> A CONTRATADA, preferencialmente deverá proceder com a aquisição dos materiais e mão de obra necessários ao cumprimento ao objeto do contrato em São Gabriel da Palha.</w:t>
      </w:r>
    </w:p>
    <w:p>
      <w:pPr>
        <w:pStyle w:val="Normal"/>
        <w:tabs>
          <w:tab w:val="clear" w:pos="708"/>
          <w:tab w:val="left" w:pos="0" w:leader="none"/>
        </w:tabs>
        <w:spacing w:lineRule="auto" w:line="360"/>
        <w:ind w:hanging="0" w:left="0" w:right="0"/>
        <w:jc w:val="both"/>
        <w:rPr>
          <w:rFonts w:ascii="Verdana" w:hAnsi="Verdana"/>
          <w:sz w:val="22"/>
          <w:szCs w:val="22"/>
        </w:rPr>
      </w:pPr>
      <w:r>
        <w:rPr>
          <w:rFonts w:eastAsia="Times New Roman" w:cs="Arial" w:ascii="Verdana" w:hAnsi="Verdana"/>
          <w:b w:val="false"/>
          <w:bCs w:val="false"/>
          <w:i w:val="false"/>
          <w:iCs w:val="false"/>
          <w:color w:val="000000"/>
          <w:sz w:val="22"/>
          <w:szCs w:val="22"/>
        </w:rPr>
        <w:t xml:space="preserve">7.23. </w:t>
      </w:r>
      <w:r>
        <w:rPr>
          <w:rFonts w:cs="Arial" w:ascii="Verdana" w:hAnsi="Verdana"/>
          <w:b w:val="false"/>
          <w:bCs w:val="false"/>
          <w:i w:val="false"/>
          <w:iCs w:val="false"/>
          <w:color w:val="000000"/>
          <w:sz w:val="22"/>
          <w:szCs w:val="22"/>
        </w:rPr>
        <w:t>A nota fiscal deverá ser acompanhada pelas Certidões de Regularidades Fiscais.</w:t>
      </w:r>
    </w:p>
    <w:p>
      <w:pPr>
        <w:pStyle w:val="Normal"/>
        <w:tabs>
          <w:tab w:val="clear" w:pos="708"/>
          <w:tab w:val="left" w:pos="0" w:leader="none"/>
        </w:tabs>
        <w:spacing w:lineRule="auto" w:line="240"/>
        <w:ind w:hanging="0" w:left="0" w:right="0"/>
        <w:jc w:val="both"/>
        <w:rPr>
          <w:rFonts w:ascii="Verdana" w:hAnsi="Verdana" w:cs="Arial"/>
          <w:b w:val="false"/>
          <w:bCs w:val="false"/>
          <w:i w:val="false"/>
          <w:i w:val="false"/>
          <w:iCs w:val="false"/>
          <w:color w:val="000000"/>
          <w:sz w:val="22"/>
          <w:szCs w:val="22"/>
        </w:rPr>
      </w:pPr>
      <w:r>
        <w:rPr>
          <w:rFonts w:cs="Arial" w:ascii="Verdana" w:hAnsi="Verdana"/>
          <w:b w:val="false"/>
          <w:bCs w:val="false"/>
          <w:i w:val="false"/>
          <w:iCs w:val="false"/>
          <w:color w:val="000000"/>
          <w:sz w:val="22"/>
          <w:szCs w:val="22"/>
        </w:rPr>
      </w:r>
    </w:p>
    <w:p>
      <w:pPr>
        <w:pStyle w:val="Normal"/>
        <w:spacing w:lineRule="auto" w:line="360"/>
        <w:ind w:hanging="0" w:left="0" w:right="0"/>
        <w:jc w:val="both"/>
        <w:rPr>
          <w:rFonts w:ascii="Verdana" w:hAnsi="Verdana"/>
          <w:sz w:val="22"/>
          <w:szCs w:val="22"/>
        </w:rPr>
      </w:pPr>
      <w:r>
        <w:rPr>
          <w:rFonts w:ascii="Verdana" w:hAnsi="Verdana"/>
          <w:b/>
          <w:bCs/>
          <w:sz w:val="22"/>
          <w:szCs w:val="22"/>
        </w:rPr>
        <w:t>8. CRITÉRIOS DE PAGAMENTO</w:t>
      </w:r>
    </w:p>
    <w:p>
      <w:pPr>
        <w:pStyle w:val="Normal"/>
        <w:spacing w:lineRule="auto" w:line="360"/>
        <w:jc w:val="both"/>
        <w:rPr>
          <w:rFonts w:ascii="Verdana" w:hAnsi="Verdana"/>
          <w:sz w:val="22"/>
          <w:szCs w:val="22"/>
        </w:rPr>
      </w:pPr>
      <w:r>
        <w:rPr>
          <w:rFonts w:eastAsia="Times New Roman" w:cs="Arial" w:ascii="Verdana" w:hAnsi="Verdana"/>
          <w:b w:val="false"/>
          <w:bCs w:val="false"/>
          <w:sz w:val="22"/>
          <w:szCs w:val="22"/>
        </w:rPr>
        <w:t>8.1.</w:t>
      </w:r>
      <w:r>
        <w:rPr>
          <w:rFonts w:eastAsia="Times New Roman" w:cs="Arial" w:ascii="Verdana" w:hAnsi="Verdana"/>
          <w:b/>
          <w:sz w:val="22"/>
          <w:szCs w:val="22"/>
        </w:rPr>
        <w:t xml:space="preserve"> </w:t>
      </w:r>
      <w:r>
        <w:rPr>
          <w:rFonts w:cs="Arial" w:ascii="Verdana" w:hAnsi="Verdana"/>
          <w:sz w:val="22"/>
          <w:szCs w:val="22"/>
        </w:rPr>
        <w:t>O pagamento será efetuado pela Contratante após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pPr>
        <w:pStyle w:val="Normal"/>
        <w:spacing w:lineRule="auto" w:line="360"/>
        <w:jc w:val="both"/>
        <w:rPr>
          <w:rFonts w:ascii="Verdana" w:hAnsi="Verdana"/>
          <w:sz w:val="22"/>
          <w:szCs w:val="22"/>
        </w:rPr>
      </w:pPr>
      <w:r>
        <w:rPr>
          <w:rFonts w:eastAsia="Times New Roman" w:cs="Arial" w:ascii="Verdana" w:hAnsi="Verdana"/>
          <w:b w:val="false"/>
          <w:bCs w:val="false"/>
          <w:sz w:val="22"/>
          <w:szCs w:val="22"/>
        </w:rPr>
        <w:t>8.2.</w:t>
      </w:r>
      <w:r>
        <w:rPr>
          <w:rFonts w:cs="Arial" w:ascii="Verdana" w:hAnsi="Verdana"/>
          <w:b w:val="false"/>
          <w:bCs w:val="false"/>
          <w:sz w:val="22"/>
          <w:szCs w:val="22"/>
        </w:rPr>
        <w:t xml:space="preserve">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pPr>
        <w:pStyle w:val="Normal"/>
        <w:spacing w:lineRule="auto" w:line="360"/>
        <w:jc w:val="both"/>
        <w:rPr>
          <w:rFonts w:ascii="Verdana" w:hAnsi="Verdana"/>
          <w:sz w:val="22"/>
          <w:szCs w:val="22"/>
        </w:rPr>
      </w:pPr>
      <w:r>
        <w:rPr>
          <w:rFonts w:eastAsia="Times New Roman" w:cs="Arial" w:ascii="Verdana" w:hAnsi="Verdana"/>
          <w:b w:val="false"/>
          <w:bCs w:val="false"/>
          <w:sz w:val="22"/>
          <w:szCs w:val="22"/>
        </w:rPr>
        <w:t>8.3.</w:t>
      </w:r>
      <w:r>
        <w:rPr>
          <w:rFonts w:cs="Arial" w:ascii="Verdana" w:hAnsi="Verdana"/>
          <w:b w:val="false"/>
          <w:bCs w:val="false"/>
          <w:sz w:val="22"/>
          <w:szCs w:val="22"/>
        </w:rPr>
        <w:t xml:space="preserve"> Os pagamentos serão efetuados mediante termo de aprovação fornecido pela Secr</w:t>
      </w:r>
      <w:r>
        <w:rPr>
          <w:rFonts w:cs="Arial" w:ascii="Verdana" w:hAnsi="Verdana"/>
          <w:sz w:val="22"/>
          <w:szCs w:val="22"/>
        </w:rPr>
        <w:t>etaria Municipal de Obras e Desenvolvimento Urbano juntamente com a Secretaria Municipal de Serviços Urbanos e liberação do recurso financeiro.</w:t>
      </w:r>
    </w:p>
    <w:p>
      <w:pPr>
        <w:pStyle w:val="Normal"/>
        <w:spacing w:lineRule="auto" w:line="360"/>
        <w:ind w:hanging="0" w:left="0" w:right="0"/>
        <w:jc w:val="both"/>
        <w:rPr>
          <w:rFonts w:ascii="Verdana" w:hAnsi="Verdana"/>
          <w:sz w:val="22"/>
          <w:szCs w:val="22"/>
        </w:rPr>
      </w:pPr>
      <w:r>
        <w:rPr>
          <w:rFonts w:cs="Arial" w:ascii="Verdana" w:hAnsi="Verdana"/>
          <w:b w:val="false"/>
          <w:bCs w:val="false"/>
          <w:sz w:val="22"/>
          <w:szCs w:val="22"/>
        </w:rPr>
        <w:t>8.4. Ocorrendo erros na apresentação da Nota Fiscal, a mesma será devolvida à Contratada para correção, ficando estabelecido que o prazo para pagamento será contado a partir da data de apresentação da nova fatura devidamente corrigida.</w:t>
      </w:r>
    </w:p>
    <w:p>
      <w:pPr>
        <w:pStyle w:val="Normal"/>
        <w:tabs>
          <w:tab w:val="clear" w:pos="708"/>
          <w:tab w:val="left" w:pos="563" w:leader="none"/>
        </w:tabs>
        <w:spacing w:lineRule="auto" w:line="360"/>
        <w:ind w:hanging="0" w:left="0" w:right="0"/>
        <w:jc w:val="both"/>
        <w:rPr>
          <w:rFonts w:ascii="Verdana" w:hAnsi="Verdana"/>
          <w:sz w:val="22"/>
          <w:szCs w:val="22"/>
        </w:rPr>
      </w:pPr>
      <w:r>
        <w:rPr>
          <w:rFonts w:ascii="Verdana" w:hAnsi="Verdana"/>
          <w:sz w:val="22"/>
          <w:szCs w:val="22"/>
        </w:rPr>
        <w:t xml:space="preserve">8.5.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360"/>
        <w:ind w:hanging="0" w:left="432" w:right="0"/>
        <w:jc w:val="both"/>
        <w:rPr>
          <w:rFonts w:ascii="Verdana" w:hAnsi="Verdana"/>
          <w:sz w:val="22"/>
          <w:szCs w:val="22"/>
        </w:rPr>
      </w:pPr>
      <w:r>
        <w:rPr>
          <w:rFonts w:ascii="Verdana" w:hAnsi="Verdana"/>
          <w:sz w:val="22"/>
          <w:szCs w:val="22"/>
        </w:rPr>
        <w:t>- O prazo de validade;</w:t>
      </w:r>
    </w:p>
    <w:p>
      <w:pPr>
        <w:pStyle w:val="Normal"/>
        <w:tabs>
          <w:tab w:val="clear" w:pos="708"/>
          <w:tab w:val="left" w:pos="563" w:leader="none"/>
        </w:tabs>
        <w:spacing w:lineRule="auto" w:line="360"/>
        <w:ind w:hanging="0" w:left="432" w:right="0"/>
        <w:jc w:val="both"/>
        <w:rPr>
          <w:rFonts w:ascii="Verdana" w:hAnsi="Verdana"/>
          <w:sz w:val="22"/>
          <w:szCs w:val="22"/>
        </w:rPr>
      </w:pPr>
      <w:r>
        <w:rPr>
          <w:rFonts w:ascii="Verdana" w:hAnsi="Verdana"/>
          <w:sz w:val="22"/>
          <w:szCs w:val="22"/>
        </w:rPr>
        <w:t xml:space="preserve">- A data da emissão; </w:t>
      </w:r>
    </w:p>
    <w:p>
      <w:pPr>
        <w:pStyle w:val="Normal"/>
        <w:tabs>
          <w:tab w:val="clear" w:pos="708"/>
          <w:tab w:val="left" w:pos="563" w:leader="none"/>
        </w:tabs>
        <w:spacing w:lineRule="auto" w:line="360"/>
        <w:ind w:hanging="0" w:left="432" w:right="0"/>
        <w:jc w:val="both"/>
        <w:rPr>
          <w:rFonts w:ascii="Verdana" w:hAnsi="Verdana"/>
          <w:sz w:val="22"/>
          <w:szCs w:val="22"/>
        </w:rPr>
      </w:pPr>
      <w:r>
        <w:rPr>
          <w:rFonts w:ascii="Verdana" w:hAnsi="Verdana"/>
          <w:sz w:val="22"/>
          <w:szCs w:val="22"/>
        </w:rPr>
        <w:t xml:space="preserve">- Os dados do contrato e do órgão contratante; </w:t>
      </w:r>
    </w:p>
    <w:p>
      <w:pPr>
        <w:pStyle w:val="Normal"/>
        <w:tabs>
          <w:tab w:val="clear" w:pos="708"/>
          <w:tab w:val="left" w:pos="563" w:leader="none"/>
        </w:tabs>
        <w:spacing w:lineRule="auto" w:line="360"/>
        <w:ind w:hanging="0" w:left="432" w:right="0"/>
        <w:jc w:val="both"/>
        <w:rPr>
          <w:rFonts w:ascii="Verdana" w:hAnsi="Verdana"/>
          <w:sz w:val="22"/>
          <w:szCs w:val="22"/>
        </w:rPr>
      </w:pPr>
      <w:r>
        <w:rPr>
          <w:rFonts w:ascii="Verdana" w:hAnsi="Verdana"/>
          <w:sz w:val="22"/>
          <w:szCs w:val="22"/>
        </w:rPr>
        <w:t xml:space="preserve">- O período respectivo de execução do contrato; </w:t>
      </w:r>
    </w:p>
    <w:p>
      <w:pPr>
        <w:pStyle w:val="Normal"/>
        <w:tabs>
          <w:tab w:val="clear" w:pos="708"/>
          <w:tab w:val="left" w:pos="563" w:leader="none"/>
        </w:tabs>
        <w:spacing w:lineRule="auto" w:line="360"/>
        <w:ind w:hanging="0" w:left="432" w:right="0"/>
        <w:jc w:val="both"/>
        <w:rPr>
          <w:rFonts w:ascii="Verdana" w:hAnsi="Verdana"/>
          <w:sz w:val="22"/>
          <w:szCs w:val="22"/>
        </w:rPr>
      </w:pPr>
      <w:r>
        <w:rPr>
          <w:rFonts w:ascii="Verdana" w:hAnsi="Verdana"/>
          <w:sz w:val="22"/>
          <w:szCs w:val="22"/>
        </w:rPr>
        <w:t xml:space="preserve">- O valor a pagar; e </w:t>
      </w:r>
    </w:p>
    <w:p>
      <w:pPr>
        <w:pStyle w:val="Normal"/>
        <w:tabs>
          <w:tab w:val="clear" w:pos="708"/>
          <w:tab w:val="left" w:pos="563" w:leader="none"/>
        </w:tabs>
        <w:spacing w:lineRule="auto" w:line="360"/>
        <w:ind w:hanging="0" w:left="432" w:right="0"/>
        <w:jc w:val="both"/>
        <w:rPr>
          <w:rFonts w:ascii="Verdana" w:hAnsi="Verdana"/>
          <w:sz w:val="22"/>
          <w:szCs w:val="22"/>
        </w:rPr>
      </w:pPr>
      <w:r>
        <w:rPr>
          <w:rFonts w:ascii="Verdana" w:hAnsi="Verdana"/>
          <w:sz w:val="22"/>
          <w:szCs w:val="22"/>
        </w:rPr>
        <w:t>- Eventual destaque do valor de retenções tributárias cabíveis.</w:t>
      </w:r>
    </w:p>
    <w:p>
      <w:pPr>
        <w:pStyle w:val="Normal"/>
        <w:tabs>
          <w:tab w:val="clear" w:pos="708"/>
          <w:tab w:val="left" w:pos="563" w:leader="none"/>
        </w:tabs>
        <w:spacing w:lineRule="auto" w:line="360"/>
        <w:ind w:hanging="0" w:left="0" w:right="0"/>
        <w:jc w:val="both"/>
        <w:rPr/>
      </w:pPr>
      <w:r>
        <w:rPr>
          <w:rFonts w:ascii="Verdana" w:hAnsi="Verdana"/>
          <w:sz w:val="22"/>
          <w:szCs w:val="22"/>
        </w:rPr>
        <w:t>8.6. A</w:t>
      </w:r>
      <w:r>
        <w:rPr>
          <w:rFonts w:ascii="Verdana" w:hAnsi="Verdana"/>
          <w:sz w:val="22"/>
          <w:szCs w:val="22"/>
          <w:lang w:eastAsia="en-US"/>
        </w:rPr>
        <w:t xml:space="preserve"> nota fiscal ou instrumento de cobrança equivalente deverá ser obrigatoriamente acompanhado da comprovação da regularidade fiscal</w:t>
      </w:r>
      <w:r>
        <w:rPr>
          <w:rStyle w:val="Hyperlink"/>
          <w:rFonts w:ascii="Verdana" w:hAnsi="Verdana"/>
          <w:color w:val="auto"/>
          <w:sz w:val="22"/>
          <w:szCs w:val="22"/>
          <w:u w:val="none"/>
          <w:lang w:eastAsia="en-US"/>
        </w:rPr>
        <w:t>.</w:t>
      </w:r>
    </w:p>
    <w:p>
      <w:pPr>
        <w:pStyle w:val="Normal"/>
        <w:tabs>
          <w:tab w:val="clear" w:pos="708"/>
          <w:tab w:val="left" w:pos="563" w:leader="none"/>
        </w:tabs>
        <w:spacing w:lineRule="auto" w:line="360"/>
        <w:ind w:hanging="0" w:left="0" w:right="0"/>
        <w:jc w:val="both"/>
        <w:rPr/>
      </w:pPr>
      <w:r>
        <w:rPr>
          <w:rStyle w:val="Hyperlink"/>
          <w:rFonts w:ascii="Verdana" w:hAnsi="Verdana"/>
          <w:color w:val="auto"/>
          <w:sz w:val="22"/>
          <w:szCs w:val="22"/>
          <w:u w:val="none"/>
          <w:lang w:eastAsia="en-US"/>
        </w:rPr>
        <w:t xml:space="preserve">8.7. </w:t>
      </w:r>
      <w:r>
        <w:rPr>
          <w:rFonts w:ascii="Verdana" w:hAnsi="Verdana"/>
          <w:sz w:val="22"/>
          <w:szCs w:val="22"/>
        </w:rPr>
        <w:t>O pagamento será realizado por meio de ordem bancária, para crédito em banco, agência e conta corrente indicados pelo contratado.</w:t>
      </w:r>
    </w:p>
    <w:p>
      <w:pPr>
        <w:pStyle w:val="Normal"/>
        <w:tabs>
          <w:tab w:val="clear" w:pos="708"/>
          <w:tab w:val="left" w:pos="563" w:leader="none"/>
        </w:tabs>
        <w:spacing w:lineRule="auto" w:line="360"/>
        <w:ind w:hanging="0" w:left="0" w:right="0"/>
        <w:jc w:val="both"/>
        <w:rPr>
          <w:rFonts w:ascii="Verdana" w:hAnsi="Verdana"/>
          <w:sz w:val="22"/>
          <w:szCs w:val="22"/>
        </w:rPr>
      </w:pPr>
      <w:r>
        <w:rPr>
          <w:rFonts w:ascii="Verdana" w:hAnsi="Verdana"/>
          <w:sz w:val="22"/>
          <w:szCs w:val="22"/>
        </w:rPr>
        <w:t>8.8. Será considerada data do pagamento o dia em que constar como emitida a ordem bancária para pagamento.</w:t>
      </w:r>
    </w:p>
    <w:p>
      <w:pPr>
        <w:pStyle w:val="Normal"/>
        <w:tabs>
          <w:tab w:val="clear" w:pos="708"/>
          <w:tab w:val="left" w:pos="563" w:leader="none"/>
        </w:tabs>
        <w:spacing w:lineRule="auto" w:line="360"/>
        <w:ind w:hanging="0" w:left="0" w:right="0"/>
        <w:jc w:val="both"/>
        <w:rPr>
          <w:rFonts w:ascii="Verdana" w:hAnsi="Verdana"/>
          <w:sz w:val="22"/>
          <w:szCs w:val="22"/>
        </w:rPr>
      </w:pPr>
      <w:r>
        <w:rPr>
          <w:rFonts w:ascii="Verdana" w:hAnsi="Verdana"/>
          <w:sz w:val="22"/>
          <w:szCs w:val="22"/>
        </w:rPr>
        <w:t>8.9. Quando do pagamento, será efetuada a retenção tributária prevista na legislação aplicável.</w:t>
      </w:r>
    </w:p>
    <w:p>
      <w:pPr>
        <w:pStyle w:val="Normal"/>
        <w:tabs>
          <w:tab w:val="clear" w:pos="708"/>
          <w:tab w:val="left" w:pos="563" w:leader="none"/>
        </w:tabs>
        <w:spacing w:lineRule="auto" w:line="360"/>
        <w:ind w:hanging="0" w:left="0" w:right="0"/>
        <w:jc w:val="both"/>
        <w:rPr/>
      </w:pPr>
      <w:r>
        <w:rPr>
          <w:rFonts w:ascii="Verdana" w:hAnsi="Verdana"/>
          <w:sz w:val="22"/>
          <w:szCs w:val="22"/>
          <w:lang w:eastAsia="en-US"/>
        </w:rPr>
        <w:t xml:space="preserve">8.10. O contratado regularmente optante pelo Simples Nacional, nos termos da </w:t>
      </w:r>
      <w:hyperlink r:id="rId3">
        <w:r>
          <w:rPr>
            <w:rStyle w:val="Style6"/>
            <w:rFonts w:ascii="Verdana" w:hAnsi="Verdana"/>
            <w:sz w:val="22"/>
            <w:szCs w:val="22"/>
            <w:u w:val="single"/>
            <w:lang w:eastAsia="en-US"/>
          </w:rPr>
          <w:t>Lei Complementar nº 123, de 2006</w:t>
        </w:r>
      </w:hyperlink>
      <w:r>
        <w:rPr>
          <w:rFonts w:ascii="Verdana" w:hAnsi="Verdana"/>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tabs>
          <w:tab w:val="clear" w:pos="708"/>
          <w:tab w:val="left" w:pos="563" w:leader="none"/>
        </w:tabs>
        <w:spacing w:lineRule="auto" w:line="360"/>
        <w:ind w:hanging="0" w:left="0" w:right="0"/>
        <w:jc w:val="both"/>
        <w:rPr>
          <w:rFonts w:ascii="Verdana" w:hAnsi="Verdana"/>
          <w:sz w:val="22"/>
          <w:szCs w:val="22"/>
        </w:rPr>
      </w:pPr>
      <w:r>
        <w:rPr>
          <w:rFonts w:ascii="Verdana" w:hAnsi="Verdana"/>
          <w:sz w:val="22"/>
          <w:szCs w:val="22"/>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jc w:val="both"/>
        <w:rPr>
          <w:rFonts w:ascii="Verdana" w:hAnsi="Verdana"/>
          <w:b/>
          <w:bCs/>
          <w:sz w:val="22"/>
          <w:szCs w:val="22"/>
        </w:rPr>
      </w:pPr>
      <w:r>
        <w:rPr>
          <w:rFonts w:ascii="Verdana" w:hAnsi="Verdana"/>
          <w:b/>
          <w:bCs/>
          <w:sz w:val="22"/>
          <w:szCs w:val="22"/>
        </w:rPr>
      </w:r>
    </w:p>
    <w:p>
      <w:pPr>
        <w:pStyle w:val="Normal"/>
        <w:spacing w:lineRule="auto" w:line="360"/>
        <w:ind w:hanging="0" w:left="0" w:right="0"/>
        <w:jc w:val="both"/>
        <w:rPr>
          <w:rFonts w:ascii="Verdana" w:hAnsi="Verdana"/>
          <w:sz w:val="22"/>
          <w:szCs w:val="22"/>
        </w:rPr>
      </w:pPr>
      <w:r>
        <w:rPr>
          <w:rFonts w:ascii="Verdana" w:hAnsi="Verdana"/>
          <w:b/>
          <w:bCs/>
          <w:iCs/>
          <w:sz w:val="22"/>
          <w:szCs w:val="22"/>
        </w:rPr>
        <w:t>9. DAS SANÇÕES</w:t>
      </w:r>
    </w:p>
    <w:p>
      <w:pPr>
        <w:pStyle w:val="Normal"/>
        <w:spacing w:lineRule="auto" w:line="360"/>
        <w:ind w:hanging="0" w:left="0" w:right="0"/>
        <w:jc w:val="both"/>
        <w:rPr>
          <w:rFonts w:ascii="Verdana" w:hAnsi="Verdana"/>
          <w:sz w:val="22"/>
          <w:szCs w:val="22"/>
        </w:rPr>
      </w:pPr>
      <w:r>
        <w:rPr>
          <w:rFonts w:ascii="Verdana" w:hAnsi="Verdana"/>
          <w:iCs/>
          <w:sz w:val="22"/>
          <w:szCs w:val="22"/>
        </w:rPr>
        <w:t>9.1. Comete infração administrativa o fornecedor/prestador de serviço que cometer quaisquer das infrações previstas no art. 155 da Lei nº 14.133, de 2021, quais sejam:</w:t>
      </w:r>
    </w:p>
    <w:p>
      <w:pPr>
        <w:pStyle w:val="Normal"/>
        <w:spacing w:lineRule="auto" w:line="360"/>
        <w:ind w:hanging="0" w:left="0" w:right="0"/>
        <w:jc w:val="both"/>
        <w:rPr>
          <w:rFonts w:ascii="Verdana" w:hAnsi="Verdana"/>
          <w:sz w:val="22"/>
          <w:szCs w:val="22"/>
        </w:rPr>
      </w:pPr>
      <w:r>
        <w:rPr>
          <w:rFonts w:ascii="Verdana" w:hAnsi="Verdana"/>
          <w:iCs/>
          <w:sz w:val="22"/>
          <w:szCs w:val="22"/>
        </w:rPr>
        <w:t>9.1.1. Dar causa à inexecução parcial do contrato.</w:t>
      </w:r>
    </w:p>
    <w:p>
      <w:pPr>
        <w:pStyle w:val="Normal"/>
        <w:spacing w:lineRule="auto" w:line="360"/>
        <w:ind w:hanging="0" w:left="0" w:right="0"/>
        <w:jc w:val="both"/>
        <w:rPr>
          <w:rFonts w:ascii="Verdana" w:hAnsi="Verdana"/>
          <w:sz w:val="22"/>
          <w:szCs w:val="22"/>
        </w:rPr>
      </w:pPr>
      <w:r>
        <w:rPr>
          <w:rFonts w:ascii="Verdana" w:hAnsi="Verdana"/>
          <w:iCs/>
          <w:sz w:val="22"/>
          <w:szCs w:val="22"/>
        </w:rPr>
        <w:t>9.1.2. Dar causa à inexecução parcial que cause grave dano à Administração, ao funcionamento dos serviços públicos ou ao interesse coletivo.</w:t>
      </w:r>
    </w:p>
    <w:p>
      <w:pPr>
        <w:pStyle w:val="Normal"/>
        <w:spacing w:lineRule="auto" w:line="360"/>
        <w:ind w:hanging="0" w:left="0" w:right="0"/>
        <w:jc w:val="both"/>
        <w:rPr>
          <w:rFonts w:ascii="Verdana" w:hAnsi="Verdana"/>
          <w:sz w:val="22"/>
          <w:szCs w:val="22"/>
        </w:rPr>
      </w:pPr>
      <w:r>
        <w:rPr>
          <w:rFonts w:ascii="Verdana" w:hAnsi="Verdana"/>
          <w:iCs/>
          <w:sz w:val="22"/>
          <w:szCs w:val="22"/>
        </w:rPr>
        <w:t>9.1.3. Dar causa à inexecução total;</w:t>
      </w:r>
    </w:p>
    <w:p>
      <w:pPr>
        <w:pStyle w:val="Normal"/>
        <w:spacing w:lineRule="auto" w:line="360"/>
        <w:ind w:hanging="0" w:left="0" w:right="0"/>
        <w:jc w:val="both"/>
        <w:rPr>
          <w:rFonts w:ascii="Verdana" w:hAnsi="Verdana"/>
          <w:sz w:val="22"/>
          <w:szCs w:val="22"/>
        </w:rPr>
      </w:pPr>
      <w:r>
        <w:rPr>
          <w:rFonts w:ascii="Verdana" w:hAnsi="Verdana"/>
          <w:iCs/>
          <w:sz w:val="22"/>
          <w:szCs w:val="22"/>
        </w:rPr>
        <w:t>9.1.4. Deixar de entregar a documentação exigida para o certame.</w:t>
      </w:r>
    </w:p>
    <w:p>
      <w:pPr>
        <w:pStyle w:val="Normal"/>
        <w:spacing w:lineRule="auto" w:line="360"/>
        <w:ind w:hanging="0" w:left="0" w:right="0"/>
        <w:jc w:val="both"/>
        <w:rPr>
          <w:rFonts w:ascii="Verdana" w:hAnsi="Verdana"/>
          <w:sz w:val="22"/>
          <w:szCs w:val="22"/>
        </w:rPr>
      </w:pPr>
      <w:r>
        <w:rPr>
          <w:rFonts w:ascii="Verdana" w:hAnsi="Verdana"/>
          <w:iCs/>
          <w:sz w:val="22"/>
          <w:szCs w:val="22"/>
        </w:rPr>
        <w:t>9.1.5. Não manter a proposta, salvo em decorrência de fato superveniente devidamente justificado.</w:t>
      </w:r>
    </w:p>
    <w:p>
      <w:pPr>
        <w:pStyle w:val="Normal"/>
        <w:spacing w:lineRule="auto" w:line="360"/>
        <w:ind w:hanging="0" w:left="0" w:right="0"/>
        <w:jc w:val="both"/>
        <w:rPr>
          <w:rFonts w:ascii="Verdana" w:hAnsi="Verdana"/>
          <w:sz w:val="22"/>
          <w:szCs w:val="22"/>
        </w:rPr>
      </w:pPr>
      <w:r>
        <w:rPr>
          <w:rFonts w:ascii="Verdana" w:hAnsi="Verdana"/>
          <w:iCs/>
          <w:sz w:val="22"/>
          <w:szCs w:val="22"/>
        </w:rPr>
        <w:t xml:space="preserve">9.1.6. Não celebrar o contrato ou não entregar a documentação exigida para a contratação, quando convocado dentro do prazo de validade de sua proposta. </w:t>
      </w:r>
    </w:p>
    <w:p>
      <w:pPr>
        <w:pStyle w:val="Normal"/>
        <w:spacing w:lineRule="auto" w:line="360"/>
        <w:ind w:hanging="0" w:left="0" w:right="0"/>
        <w:jc w:val="both"/>
        <w:rPr>
          <w:rFonts w:ascii="Verdana" w:hAnsi="Verdana"/>
          <w:sz w:val="22"/>
          <w:szCs w:val="22"/>
        </w:rPr>
      </w:pPr>
      <w:r>
        <w:rPr>
          <w:rFonts w:ascii="Verdana" w:hAnsi="Verdana"/>
          <w:iCs/>
          <w:sz w:val="22"/>
          <w:szCs w:val="22"/>
        </w:rPr>
        <w:t>9.1.7. Ensejar o retardamento da execução ou da entrega do objeto sem motivo justificado,</w:t>
      </w:r>
    </w:p>
    <w:p>
      <w:pPr>
        <w:pStyle w:val="Normal"/>
        <w:spacing w:lineRule="auto" w:line="360"/>
        <w:ind w:hanging="0" w:left="0" w:right="0"/>
        <w:jc w:val="both"/>
        <w:rPr>
          <w:rFonts w:ascii="Verdana" w:hAnsi="Verdana"/>
          <w:sz w:val="22"/>
          <w:szCs w:val="22"/>
        </w:rPr>
      </w:pPr>
      <w:r>
        <w:rPr>
          <w:rFonts w:ascii="Verdana" w:hAnsi="Verdana"/>
          <w:iCs/>
          <w:sz w:val="22"/>
          <w:szCs w:val="22"/>
        </w:rPr>
        <w:t>9.1.8. Apresentar declaração ou documentação falsa exigida para o certame ou prestar declaração falsa durante a dispensa eletrônica ou a execução do objeto.</w:t>
      </w:r>
    </w:p>
    <w:p>
      <w:pPr>
        <w:pStyle w:val="Normal"/>
        <w:spacing w:lineRule="auto" w:line="360"/>
        <w:ind w:hanging="0" w:left="0" w:right="0"/>
        <w:jc w:val="both"/>
        <w:rPr>
          <w:rFonts w:ascii="Verdana" w:hAnsi="Verdana"/>
          <w:sz w:val="22"/>
          <w:szCs w:val="22"/>
        </w:rPr>
      </w:pPr>
      <w:r>
        <w:rPr>
          <w:rFonts w:ascii="Verdana" w:hAnsi="Verdana"/>
          <w:iCs/>
          <w:sz w:val="22"/>
          <w:szCs w:val="22"/>
        </w:rPr>
        <w:t>9.1.9. Fraudar a dispensa eletrônica ou praticar ato fraudulento na execução do objeto.</w:t>
      </w:r>
    </w:p>
    <w:p>
      <w:pPr>
        <w:pStyle w:val="Normal"/>
        <w:spacing w:lineRule="auto" w:line="360"/>
        <w:ind w:hanging="0" w:left="0" w:right="0"/>
        <w:jc w:val="both"/>
        <w:rPr>
          <w:rFonts w:ascii="Verdana" w:hAnsi="Verdana"/>
          <w:sz w:val="22"/>
          <w:szCs w:val="22"/>
        </w:rPr>
      </w:pPr>
      <w:r>
        <w:rPr>
          <w:rFonts w:ascii="Verdana" w:hAnsi="Verdana"/>
          <w:iCs/>
          <w:sz w:val="22"/>
          <w:szCs w:val="22"/>
        </w:rPr>
        <w:t>9.1.10. Comportar-se de modo inidôneo ou cometer fraude de qualquer natureza.</w:t>
      </w:r>
    </w:p>
    <w:p>
      <w:pPr>
        <w:pStyle w:val="Normal"/>
        <w:spacing w:lineRule="auto" w:line="360"/>
        <w:ind w:hanging="0" w:left="0" w:right="0"/>
        <w:jc w:val="both"/>
        <w:rPr>
          <w:rFonts w:ascii="Verdana" w:hAnsi="Verdana"/>
          <w:sz w:val="22"/>
          <w:szCs w:val="22"/>
        </w:rPr>
      </w:pPr>
      <w:r>
        <w:rPr>
          <w:rFonts w:ascii="Verdana" w:hAnsi="Verdana"/>
          <w:iCs/>
          <w:sz w:val="22"/>
          <w:szCs w:val="22"/>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360"/>
        <w:ind w:hanging="0" w:left="0" w:right="0"/>
        <w:jc w:val="both"/>
        <w:rPr>
          <w:rFonts w:ascii="Verdana" w:hAnsi="Verdana"/>
          <w:sz w:val="22"/>
          <w:szCs w:val="22"/>
        </w:rPr>
      </w:pPr>
      <w:r>
        <w:rPr>
          <w:rFonts w:ascii="Verdana" w:hAnsi="Verdana"/>
          <w:iCs/>
          <w:sz w:val="22"/>
          <w:szCs w:val="22"/>
        </w:rPr>
        <w:t>9.1.11. Praticar atos ilícitos com vistas a frustrar os objetivos deste certame.</w:t>
      </w:r>
    </w:p>
    <w:p>
      <w:pPr>
        <w:pStyle w:val="Normal"/>
        <w:spacing w:lineRule="auto" w:line="360"/>
        <w:ind w:hanging="0" w:left="0" w:right="0"/>
        <w:jc w:val="both"/>
        <w:rPr>
          <w:rFonts w:ascii="Verdana" w:hAnsi="Verdana"/>
          <w:sz w:val="22"/>
          <w:szCs w:val="22"/>
        </w:rPr>
      </w:pPr>
      <w:r>
        <w:rPr>
          <w:rFonts w:ascii="Verdana" w:hAnsi="Verdana"/>
          <w:iCs/>
          <w:sz w:val="22"/>
          <w:szCs w:val="22"/>
        </w:rPr>
        <w:t>9.1.12. Praticar ato lesivo previsto no art. 5º da Lei nº 12.846, de 1º de agosto de 2013.</w:t>
      </w:r>
    </w:p>
    <w:p>
      <w:pPr>
        <w:pStyle w:val="Normal"/>
        <w:spacing w:lineRule="auto" w:line="360"/>
        <w:ind w:hanging="0" w:left="0" w:right="0"/>
        <w:jc w:val="both"/>
        <w:rPr>
          <w:rFonts w:ascii="Verdana" w:hAnsi="Verdana"/>
          <w:sz w:val="22"/>
          <w:szCs w:val="22"/>
        </w:rPr>
      </w:pPr>
      <w:r>
        <w:rPr>
          <w:rFonts w:ascii="Verdana" w:hAnsi="Verdana"/>
          <w:iCs/>
          <w:sz w:val="22"/>
          <w:szCs w:val="22"/>
        </w:rPr>
        <w:t>9.2. O fornecedor que cometer qualquer das infrações discriminadas nos subitens anteriores ficará sujeito, sem prejuízo da responsabilidade civil e criminal, às seguintes sanções:</w:t>
      </w:r>
    </w:p>
    <w:p>
      <w:pPr>
        <w:pStyle w:val="Normal"/>
        <w:spacing w:lineRule="auto" w:line="360"/>
        <w:ind w:hanging="0" w:left="0" w:right="0"/>
        <w:jc w:val="both"/>
        <w:rPr>
          <w:rFonts w:ascii="Verdana" w:hAnsi="Verdana"/>
          <w:sz w:val="22"/>
          <w:szCs w:val="22"/>
        </w:rPr>
      </w:pPr>
      <w:r>
        <w:rPr>
          <w:rFonts w:ascii="Verdana" w:hAnsi="Verdana"/>
          <w:iCs/>
          <w:sz w:val="22"/>
          <w:szCs w:val="22"/>
        </w:rPr>
        <w:t xml:space="preserve">         </w:t>
      </w:r>
      <w:r>
        <w:rPr>
          <w:rFonts w:ascii="Verdana" w:hAnsi="Verdana"/>
          <w:iCs/>
          <w:sz w:val="22"/>
          <w:szCs w:val="22"/>
        </w:rPr>
        <w:t>a) Advertência pela falta do subitem 9.1.1 deste Termo de Referência, quando não se justificar a imposição de penalidade mais grave.</w:t>
      </w:r>
    </w:p>
    <w:p>
      <w:pPr>
        <w:pStyle w:val="Normal"/>
        <w:spacing w:lineRule="auto" w:line="360"/>
        <w:ind w:hanging="0" w:left="-57" w:right="0"/>
        <w:jc w:val="both"/>
        <w:rPr>
          <w:rFonts w:ascii="Verdana" w:hAnsi="Verdana"/>
          <w:sz w:val="22"/>
          <w:szCs w:val="22"/>
        </w:rPr>
      </w:pPr>
      <w:r>
        <w:rPr>
          <w:rFonts w:ascii="Verdana" w:hAnsi="Verdana"/>
          <w:iCs/>
          <w:sz w:val="22"/>
          <w:szCs w:val="22"/>
        </w:rPr>
        <w:t xml:space="preserve">     </w:t>
      </w:r>
      <w:r>
        <w:rPr>
          <w:rFonts w:ascii="Verdana" w:hAnsi="Verdana"/>
          <w:iCs/>
          <w:sz w:val="22"/>
          <w:szCs w:val="22"/>
        </w:rPr>
        <w:tab/>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pPr>
        <w:pStyle w:val="Normal"/>
        <w:spacing w:lineRule="auto" w:line="360"/>
        <w:ind w:hanging="0" w:left="0" w:right="0"/>
        <w:jc w:val="both"/>
        <w:rPr>
          <w:rFonts w:ascii="Verdana" w:hAnsi="Verdana"/>
          <w:sz w:val="22"/>
          <w:szCs w:val="22"/>
        </w:rPr>
      </w:pPr>
      <w:r>
        <w:rPr>
          <w:rFonts w:ascii="Verdana" w:hAnsi="Verdana"/>
          <w:iCs/>
          <w:sz w:val="22"/>
          <w:szCs w:val="22"/>
        </w:rPr>
        <w:t xml:space="preserve">                    </w:t>
      </w:r>
      <w:r>
        <w:rPr>
          <w:rFonts w:ascii="Verdana" w:hAnsi="Verdana"/>
          <w:iCs/>
          <w:sz w:val="22"/>
          <w:szCs w:val="22"/>
        </w:rPr>
        <w:t>b.1) O valor da multa poderá ser descontado das faturas devidas à CONTRATADA;</w:t>
      </w:r>
    </w:p>
    <w:p>
      <w:pPr>
        <w:pStyle w:val="Normal"/>
        <w:spacing w:lineRule="auto" w:line="360"/>
        <w:ind w:hanging="0" w:left="0" w:right="0"/>
        <w:jc w:val="both"/>
        <w:rPr>
          <w:rFonts w:ascii="Verdana" w:hAnsi="Verdana"/>
          <w:sz w:val="22"/>
          <w:szCs w:val="22"/>
        </w:rPr>
      </w:pPr>
      <w:r>
        <w:rPr>
          <w:rFonts w:ascii="Verdana" w:hAnsi="Verdana"/>
          <w:iCs/>
          <w:sz w:val="22"/>
          <w:szCs w:val="22"/>
        </w:rPr>
        <w:t xml:space="preserve">                     </w:t>
      </w:r>
      <w:r>
        <w:rPr>
          <w:rFonts w:ascii="Verdana" w:hAnsi="Verdana"/>
          <w:iCs/>
          <w:sz w:val="22"/>
          <w:szCs w:val="22"/>
        </w:rPr>
        <w:t xml:space="preserve">b.2) A multa pode ser aplicada isoladamente ou juntamente com as penalidades definidas nos itens “c” e “d” abaixo: </w:t>
      </w:r>
    </w:p>
    <w:p>
      <w:pPr>
        <w:pStyle w:val="Normal"/>
        <w:spacing w:lineRule="auto" w:line="360"/>
        <w:ind w:hanging="0" w:left="0" w:right="0"/>
        <w:jc w:val="both"/>
        <w:rPr>
          <w:rFonts w:ascii="Verdana" w:hAnsi="Verdana"/>
          <w:sz w:val="22"/>
          <w:szCs w:val="22"/>
        </w:rPr>
      </w:pPr>
      <w:r>
        <w:rPr>
          <w:rFonts w:ascii="Verdana" w:hAnsi="Verdana"/>
          <w:iCs/>
          <w:sz w:val="22"/>
          <w:szCs w:val="22"/>
        </w:rPr>
        <w:t xml:space="preserve">         </w:t>
      </w:r>
      <w:r>
        <w:rPr>
          <w:rFonts w:ascii="Verdana" w:hAnsi="Verdana"/>
          <w:iCs/>
          <w:sz w:val="22"/>
          <w:szCs w:val="22"/>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pPr>
        <w:pStyle w:val="Normal"/>
        <w:spacing w:lineRule="auto" w:line="360"/>
        <w:ind w:hanging="0" w:left="0" w:right="0"/>
        <w:jc w:val="both"/>
        <w:rPr>
          <w:rFonts w:ascii="Verdana" w:hAnsi="Verdana"/>
          <w:sz w:val="22"/>
          <w:szCs w:val="22"/>
        </w:rPr>
      </w:pPr>
      <w:r>
        <w:rPr>
          <w:rFonts w:ascii="Verdana" w:hAnsi="Verdana"/>
          <w:iCs/>
          <w:sz w:val="22"/>
          <w:szCs w:val="22"/>
        </w:rPr>
        <w:t xml:space="preserve">         </w:t>
      </w:r>
      <w:r>
        <w:rPr>
          <w:rFonts w:ascii="Verdana" w:hAnsi="Verdana"/>
          <w:iCs/>
          <w:sz w:val="22"/>
          <w:szCs w:val="22"/>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pPr>
        <w:pStyle w:val="Normal"/>
        <w:spacing w:lineRule="auto" w:line="360"/>
        <w:ind w:hanging="0" w:left="0" w:right="0"/>
        <w:jc w:val="both"/>
        <w:rPr>
          <w:rFonts w:ascii="Verdana" w:hAnsi="Verdana"/>
          <w:sz w:val="22"/>
          <w:szCs w:val="22"/>
        </w:rPr>
      </w:pPr>
      <w:r>
        <w:rPr>
          <w:rFonts w:ascii="Verdana" w:hAnsi="Verdana"/>
          <w:iCs/>
          <w:sz w:val="22"/>
          <w:szCs w:val="22"/>
        </w:rPr>
        <w:t>9.3. Na aplicação das sanções serão considerados:</w:t>
      </w:r>
    </w:p>
    <w:p>
      <w:pPr>
        <w:pStyle w:val="Normal"/>
        <w:spacing w:lineRule="auto" w:line="360"/>
        <w:ind w:hanging="0" w:left="0" w:right="0"/>
        <w:jc w:val="both"/>
        <w:rPr>
          <w:rFonts w:ascii="Verdana" w:hAnsi="Verdana"/>
          <w:sz w:val="22"/>
          <w:szCs w:val="22"/>
        </w:rPr>
      </w:pPr>
      <w:r>
        <w:rPr>
          <w:rFonts w:ascii="Verdana" w:hAnsi="Verdana"/>
          <w:iCs/>
          <w:sz w:val="22"/>
          <w:szCs w:val="22"/>
        </w:rPr>
        <w:t>9.3.1. A natureza e a gravidade da infração cometida.</w:t>
      </w:r>
    </w:p>
    <w:p>
      <w:pPr>
        <w:pStyle w:val="Normal"/>
        <w:spacing w:lineRule="auto" w:line="360"/>
        <w:ind w:hanging="0" w:left="0" w:right="0"/>
        <w:jc w:val="both"/>
        <w:rPr>
          <w:rFonts w:ascii="Verdana" w:hAnsi="Verdana"/>
          <w:sz w:val="22"/>
          <w:szCs w:val="22"/>
        </w:rPr>
      </w:pPr>
      <w:r>
        <w:rPr>
          <w:rFonts w:ascii="Verdana" w:hAnsi="Verdana"/>
          <w:iCs/>
          <w:sz w:val="22"/>
          <w:szCs w:val="22"/>
        </w:rPr>
        <w:t>9.3.2. As peculiaridades do caso concreto.</w:t>
      </w:r>
    </w:p>
    <w:p>
      <w:pPr>
        <w:pStyle w:val="Normal"/>
        <w:spacing w:lineRule="auto" w:line="360"/>
        <w:ind w:hanging="0" w:left="0" w:right="0"/>
        <w:jc w:val="both"/>
        <w:rPr>
          <w:rFonts w:ascii="Verdana" w:hAnsi="Verdana"/>
          <w:sz w:val="22"/>
          <w:szCs w:val="22"/>
        </w:rPr>
      </w:pPr>
      <w:r>
        <w:rPr>
          <w:rFonts w:ascii="Verdana" w:hAnsi="Verdana"/>
          <w:iCs/>
          <w:sz w:val="22"/>
          <w:szCs w:val="22"/>
        </w:rPr>
        <w:t>9.3.3. As circunstâncias agravantes ou atenuantes.</w:t>
      </w:r>
    </w:p>
    <w:p>
      <w:pPr>
        <w:pStyle w:val="Normal"/>
        <w:spacing w:lineRule="auto" w:line="360"/>
        <w:ind w:hanging="0" w:left="0" w:right="0"/>
        <w:jc w:val="both"/>
        <w:rPr>
          <w:rFonts w:ascii="Verdana" w:hAnsi="Verdana"/>
          <w:sz w:val="22"/>
          <w:szCs w:val="22"/>
        </w:rPr>
      </w:pPr>
      <w:r>
        <w:rPr>
          <w:rFonts w:ascii="Verdana" w:hAnsi="Verdana"/>
          <w:iCs/>
          <w:sz w:val="22"/>
          <w:szCs w:val="22"/>
        </w:rPr>
        <w:t>9.3.4. Os danos que dela provierem para a Administração Pública.</w:t>
      </w:r>
    </w:p>
    <w:p>
      <w:pPr>
        <w:pStyle w:val="Normal"/>
        <w:spacing w:lineRule="auto" w:line="360"/>
        <w:ind w:hanging="0" w:left="0" w:right="0"/>
        <w:jc w:val="both"/>
        <w:rPr>
          <w:rFonts w:ascii="Verdana" w:hAnsi="Verdana"/>
          <w:sz w:val="22"/>
          <w:szCs w:val="22"/>
        </w:rPr>
      </w:pPr>
      <w:r>
        <w:rPr>
          <w:rFonts w:ascii="Verdana" w:hAnsi="Verdana"/>
          <w:iCs/>
          <w:sz w:val="22"/>
          <w:szCs w:val="22"/>
        </w:rPr>
        <w:t>9.3.5. A implantação ou o aperfeiçoamento de programa de integridade, conforme normas e orientações dos órgãos de controle.</w:t>
      </w:r>
    </w:p>
    <w:p>
      <w:pPr>
        <w:pStyle w:val="Normal"/>
        <w:spacing w:lineRule="auto" w:line="360"/>
        <w:ind w:hanging="0" w:left="0" w:right="0"/>
        <w:jc w:val="both"/>
        <w:rPr>
          <w:rFonts w:ascii="Verdana" w:hAnsi="Verdana"/>
          <w:sz w:val="22"/>
          <w:szCs w:val="22"/>
        </w:rPr>
      </w:pPr>
      <w:r>
        <w:rPr>
          <w:rFonts w:ascii="Verdana" w:hAnsi="Verdana"/>
          <w:iCs/>
          <w:sz w:val="22"/>
          <w:szCs w:val="22"/>
        </w:rPr>
        <w:t>9.4.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360"/>
        <w:ind w:hanging="0" w:left="0" w:right="0"/>
        <w:jc w:val="both"/>
        <w:rPr>
          <w:rFonts w:ascii="Verdana" w:hAnsi="Verdana"/>
          <w:sz w:val="22"/>
          <w:szCs w:val="22"/>
        </w:rPr>
      </w:pPr>
      <w:r>
        <w:rPr>
          <w:rFonts w:ascii="Verdana" w:hAnsi="Verdana"/>
          <w:b w:val="false"/>
          <w:bCs w:val="false"/>
          <w:iCs/>
          <w:sz w:val="22"/>
          <w:szCs w:val="22"/>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40"/>
        <w:ind w:hanging="0" w:left="0" w:right="0"/>
        <w:jc w:val="both"/>
        <w:rPr>
          <w:rFonts w:ascii="Verdana" w:hAnsi="Verdana"/>
          <w:sz w:val="22"/>
          <w:szCs w:val="22"/>
        </w:rPr>
      </w:pPr>
      <w:r>
        <w:rPr>
          <w:rFonts w:ascii="Verdana" w:hAnsi="Verdana"/>
          <w:sz w:val="22"/>
          <w:szCs w:val="22"/>
        </w:rPr>
      </w:r>
    </w:p>
    <w:p>
      <w:pPr>
        <w:pStyle w:val="Normal"/>
        <w:spacing w:lineRule="auto" w:line="276"/>
        <w:ind w:hanging="0" w:left="-79" w:right="0"/>
        <w:jc w:val="both"/>
        <w:rPr>
          <w:rFonts w:ascii="Verdana" w:hAnsi="Verdana"/>
          <w:sz w:val="22"/>
          <w:szCs w:val="22"/>
        </w:rPr>
      </w:pPr>
      <w:r>
        <w:rPr>
          <w:rFonts w:ascii="Verdana" w:hAnsi="Verdana"/>
          <w:b/>
          <w:bCs/>
          <w:sz w:val="22"/>
          <w:szCs w:val="22"/>
          <w:lang w:eastAsia="en-US"/>
        </w:rPr>
        <w:t>10. DA HABILITAÇÃO</w:t>
      </w:r>
    </w:p>
    <w:p>
      <w:pPr>
        <w:pStyle w:val="Normal"/>
        <w:spacing w:lineRule="auto" w:line="360"/>
        <w:ind w:hanging="0" w:left="-79" w:right="0"/>
        <w:jc w:val="both"/>
        <w:rPr>
          <w:rFonts w:ascii="Verdana" w:hAnsi="Verdana"/>
          <w:sz w:val="22"/>
          <w:szCs w:val="22"/>
        </w:rPr>
      </w:pPr>
      <w:r>
        <w:rPr>
          <w:rFonts w:cs="Verdana" w:ascii="Verdana" w:hAnsi="Verdana"/>
          <w:b w:val="false"/>
          <w:bCs w:val="false"/>
          <w:sz w:val="22"/>
          <w:szCs w:val="22"/>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sz w:val="22"/>
          <w:szCs w:val="22"/>
          <w:lang w:eastAsia="ar-SA"/>
        </w:rPr>
        <w:t>a) SICAF;</w:t>
      </w:r>
    </w:p>
    <w:p>
      <w:pPr>
        <w:pStyle w:val="ListParagraph"/>
        <w:spacing w:lineRule="auto" w:line="360" w:before="57" w:after="57"/>
        <w:ind w:hanging="0" w:left="0" w:right="0"/>
        <w:contextualSpacing w:val="false"/>
        <w:jc w:val="both"/>
        <w:rPr/>
      </w:pPr>
      <w:r>
        <w:rPr>
          <w:rFonts w:cs="Verdana" w:ascii="Verdana" w:hAnsi="Verdana"/>
          <w:b w:val="false"/>
          <w:bCs w:val="false"/>
          <w:sz w:val="22"/>
          <w:szCs w:val="22"/>
          <w:lang w:eastAsia="ar-SA"/>
        </w:rPr>
        <w:t>b) Cadastro Nacional de Empresas Inidôneas e Suspensas – CEIS, mantido pela Controladoria-Geral da União (</w:t>
      </w:r>
      <w:hyperlink r:id="rId4">
        <w:r>
          <w:rPr>
            <w:rStyle w:val="Hyperlink"/>
            <w:rFonts w:cs="Verdana" w:ascii="Verdana" w:hAnsi="Verdana"/>
            <w:b w:val="false"/>
            <w:bCs w:val="false"/>
            <w:sz w:val="22"/>
            <w:szCs w:val="22"/>
            <w:lang w:eastAsia="ar-SA"/>
          </w:rPr>
          <w:t>www.portaldatransparencia.gov.br/ceis</w:t>
        </w:r>
      </w:hyperlink>
      <w:r>
        <w:rPr>
          <w:rFonts w:cs="Verdana" w:ascii="Verdana" w:hAnsi="Verdana"/>
          <w:b w:val="false"/>
          <w:bCs w:val="false"/>
          <w:sz w:val="22"/>
          <w:szCs w:val="22"/>
          <w:lang w:eastAsia="ar-SA"/>
        </w:rPr>
        <w:t>);</w:t>
      </w:r>
    </w:p>
    <w:p>
      <w:pPr>
        <w:pStyle w:val="ListParagraph"/>
        <w:spacing w:lineRule="auto" w:line="360" w:before="57" w:after="57"/>
        <w:ind w:hanging="0" w:left="0" w:right="0"/>
        <w:contextualSpacing w:val="false"/>
        <w:jc w:val="both"/>
        <w:rPr/>
      </w:pPr>
      <w:r>
        <w:rPr>
          <w:rFonts w:cs="Verdana" w:ascii="Verdana" w:hAnsi="Verdana"/>
          <w:b w:val="false"/>
          <w:bCs w:val="false"/>
          <w:sz w:val="22"/>
          <w:szCs w:val="22"/>
          <w:lang w:eastAsia="ar-SA"/>
        </w:rPr>
        <w:t>c) Cadastro Nacional de Condenações Cíveis por Atos de Improbidade Administrativa, mantido pelo Conselho Nacional de Justiça (</w:t>
      </w:r>
      <w:hyperlink r:id="rId5">
        <w:r>
          <w:rPr>
            <w:rStyle w:val="Hyperlink"/>
            <w:rFonts w:cs="Verdana" w:ascii="Verdana" w:hAnsi="Verdana"/>
            <w:b w:val="false"/>
            <w:bCs w:val="false"/>
            <w:sz w:val="22"/>
            <w:szCs w:val="22"/>
            <w:lang w:eastAsia="ar-SA"/>
          </w:rPr>
          <w:t>www.cnj.jus.br/improbidade_adm/consultar_requerido.php</w:t>
        </w:r>
      </w:hyperlink>
      <w:r>
        <w:rPr>
          <w:rFonts w:cs="Verdana" w:ascii="Verdana" w:hAnsi="Verdana"/>
          <w:b w:val="false"/>
          <w:bCs w:val="false"/>
          <w:sz w:val="22"/>
          <w:szCs w:val="22"/>
          <w:lang w:eastAsia="ar-SA"/>
        </w:rPr>
        <w:t>).</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sz w:val="22"/>
          <w:szCs w:val="22"/>
          <w:lang w:eastAsia="ar-SA"/>
        </w:rPr>
        <w:t>d) Cadastro de Inidôneos e o Cadastro Integrado de Condenações por Ilícitos Administrativos – CADICON, mantidos pelo Tribunal de Contas da União – TCU;</w:t>
      </w:r>
    </w:p>
    <w:p>
      <w:pPr>
        <w:pStyle w:val="Normal"/>
        <w:spacing w:lineRule="auto" w:line="360" w:before="57" w:after="57"/>
        <w:jc w:val="both"/>
        <w:rPr/>
      </w:pPr>
      <w:r>
        <w:rPr>
          <w:rFonts w:cs="Verdana" w:ascii="Verdana" w:hAnsi="Verdana"/>
          <w:b w:val="false"/>
          <w:bCs w:val="false"/>
          <w:sz w:val="22"/>
          <w:szCs w:val="22"/>
          <w:lang w:eastAsia="ar-SA"/>
        </w:rPr>
        <w:t>e) Cadastro de empresas inid</w:t>
      </w:r>
      <w:r>
        <w:rPr>
          <w:rFonts w:cs="Verdana" w:ascii="Verdana" w:hAnsi="Verdana"/>
          <w:b w:val="false"/>
          <w:bCs w:val="false"/>
          <w:sz w:val="22"/>
          <w:szCs w:val="22"/>
        </w:rPr>
        <w:t>ôneas, mantido pelo Tribunal de Contas do Estado do Espírito Santo –TCE/ES(https://www.tcees.tc.br/portal-da-transparencia/consultas/lista-de-responsaveis/empresas-inidoneas/) e proibidas de contratar com o Poder Público estadual ou municipal(</w:t>
      </w:r>
      <w:hyperlink r:id="rId6">
        <w:r>
          <w:rPr>
            <w:rStyle w:val="Hyperlink"/>
            <w:rFonts w:cs="Verdana" w:ascii="Verdana" w:hAnsi="Verdana"/>
            <w:b w:val="false"/>
            <w:bCs w:val="false"/>
            <w:sz w:val="22"/>
            <w:szCs w:val="22"/>
          </w:rPr>
          <w:t>https://www.tcees.tc.br/portal-da-transparencia/consultas/lista-de</w:t>
        </w:r>
      </w:hyperlink>
      <w:r>
        <w:rPr>
          <w:rFonts w:cs="Verdana" w:ascii="Verdana" w:hAnsi="Verdana"/>
          <w:b w:val="false"/>
          <w:bCs w:val="false"/>
          <w:sz w:val="22"/>
          <w:szCs w:val="22"/>
        </w:rPr>
        <w:t xml:space="preserve"> responsáveis/proibidos-de-contratar/).</w:t>
      </w:r>
    </w:p>
    <w:p>
      <w:pPr>
        <w:pStyle w:val="Normal"/>
        <w:spacing w:lineRule="auto" w:line="360" w:before="57" w:after="57"/>
        <w:jc w:val="both"/>
        <w:rPr/>
      </w:pPr>
      <w:r>
        <w:rPr>
          <w:rFonts w:cs="Verdana" w:ascii="Verdana" w:hAnsi="Verdana"/>
          <w:b w:val="false"/>
          <w:bCs w:val="false"/>
          <w:sz w:val="22"/>
          <w:szCs w:val="22"/>
          <w:lang w:eastAsia="ar-SA"/>
        </w:rPr>
        <w:t>10.1.1. Para a consulta de licitantes pessoa jurídica poderá haver a substituição das consultas das alíneas “b”, “c” e “d” acima pela Consulta Consolidada de Pessoa Jurídica do TCU (</w:t>
      </w:r>
      <w:hyperlink r:id="rId7">
        <w:r>
          <w:rPr>
            <w:rStyle w:val="Hyperlink"/>
            <w:rFonts w:cs="Verdana" w:ascii="Verdana" w:hAnsi="Verdana"/>
            <w:b w:val="false"/>
            <w:bCs w:val="false"/>
            <w:sz w:val="22"/>
            <w:szCs w:val="22"/>
            <w:lang w:eastAsia="ar-SA"/>
          </w:rPr>
          <w:t>https://certidoesapf.apps.tcu.gov.br/</w:t>
        </w:r>
      </w:hyperlink>
      <w:r>
        <w:rPr>
          <w:rFonts w:cs="Verdana" w:ascii="Verdana" w:hAnsi="Verdana"/>
          <w:b w:val="false"/>
          <w:bCs w:val="false"/>
          <w:sz w:val="22"/>
          <w:szCs w:val="22"/>
          <w:lang w:eastAsia="ar-SA"/>
        </w:rPr>
        <w:t>);</w:t>
      </w:r>
    </w:p>
    <w:p>
      <w:pPr>
        <w:pStyle w:val="Normal"/>
        <w:spacing w:lineRule="auto" w:line="360" w:before="57" w:after="57"/>
        <w:jc w:val="both"/>
        <w:rPr>
          <w:rFonts w:ascii="Verdana" w:hAnsi="Verdana"/>
          <w:sz w:val="22"/>
          <w:szCs w:val="22"/>
        </w:rPr>
      </w:pPr>
      <w:r>
        <w:rPr>
          <w:rFonts w:cs="Verdana" w:ascii="Verdana" w:hAnsi="Verdana"/>
          <w:b w:val="false"/>
          <w:bCs w:val="false"/>
          <w:color w:val="000000"/>
          <w:sz w:val="22"/>
          <w:szCs w:val="22"/>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102.1.2.3. O licitante será convocado para manifestação previamente à sua desclassificação.</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10.1.3. Constatada a existência de sanção, o Pregoeiro reputará o licitante inabilitado, por falta de condição de participação.</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sz w:val="22"/>
          <w:szCs w:val="22"/>
          <w:lang w:eastAsia="ar-SA"/>
        </w:rPr>
        <w:t xml:space="preserve">10.2 </w:t>
      </w:r>
      <w:r>
        <w:rPr>
          <w:rFonts w:cs="Verdana" w:ascii="Verdana" w:hAnsi="Verdana"/>
          <w:b w:val="false"/>
          <w:bCs w:val="false"/>
          <w:color w:val="000000"/>
          <w:sz w:val="22"/>
          <w:szCs w:val="22"/>
        </w:rPr>
        <w:t xml:space="preserve">Caso atendidas as condições de participação, </w:t>
      </w:r>
      <w:r>
        <w:rPr>
          <w:rFonts w:cs="Verdana" w:ascii="Verdana" w:hAnsi="Verdana"/>
          <w:b w:val="false"/>
          <w:bCs w:val="false"/>
          <w:sz w:val="22"/>
          <w:szCs w:val="22"/>
        </w:rPr>
        <w:t>a habilitação dos licitantes será verificada por meio do SICAF, nos documentos por ele abrangidos</w:t>
      </w:r>
      <w:r>
        <w:rPr>
          <w:rFonts w:cs="Verdana" w:ascii="Verdana" w:hAnsi="Verdana"/>
          <w:b w:val="false"/>
          <w:bCs w:val="false"/>
          <w:sz w:val="22"/>
          <w:szCs w:val="22"/>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sz w:val="22"/>
          <w:szCs w:val="22"/>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10.2.3 O descu</w:t>
      </w:r>
      <w:r>
        <w:rPr>
          <w:rFonts w:cs="Verdana" w:ascii="Verdana" w:hAnsi="Verdana"/>
          <w:color w:val="000000"/>
          <w:sz w:val="22"/>
          <w:szCs w:val="22"/>
        </w:rPr>
        <w:t>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tabs>
          <w:tab w:val="clear" w:pos="708"/>
          <w:tab w:val="left" w:pos="567" w:leader="none"/>
        </w:tabs>
        <w:spacing w:lineRule="auto" w:line="360" w:before="57" w:after="57"/>
        <w:ind w:hanging="0"/>
        <w:rPr>
          <w:rFonts w:ascii="Verdana" w:hAnsi="Verdana"/>
          <w:sz w:val="22"/>
          <w:szCs w:val="22"/>
        </w:rPr>
      </w:pPr>
      <w:r>
        <w:rPr>
          <w:rFonts w:cs="Verdana" w:ascii="Verdana" w:hAnsi="Verdana"/>
          <w:b w:val="false"/>
          <w:bCs w:val="false"/>
          <w:color w:val="000000"/>
          <w:sz w:val="22"/>
          <w:szCs w:val="22"/>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tabs>
          <w:tab w:val="clear" w:pos="708"/>
          <w:tab w:val="left" w:pos="567" w:leader="none"/>
        </w:tabs>
        <w:spacing w:lineRule="auto" w:line="360" w:before="57" w:after="57"/>
        <w:ind w:hanging="0"/>
        <w:rPr>
          <w:rFonts w:ascii="Verdana" w:hAnsi="Verdana"/>
          <w:sz w:val="22"/>
          <w:szCs w:val="22"/>
        </w:rPr>
      </w:pPr>
      <w:r>
        <w:rPr>
          <w:rFonts w:cs="Verdana" w:ascii="Verdana" w:hAnsi="Verdana"/>
          <w:b w:val="false"/>
          <w:bCs w:val="false"/>
          <w:sz w:val="22"/>
          <w:szCs w:val="22"/>
        </w:rPr>
        <w:t>10.4 Somente haverá a necessidade de comprovação do preenchimento de requisitos mediante apresentação dos documentos originais não-digitais quando houver dúvida em relação à integridade do documento digital.</w:t>
      </w:r>
    </w:p>
    <w:p>
      <w:pPr>
        <w:pStyle w:val="PADRO"/>
        <w:widowControl/>
        <w:tabs>
          <w:tab w:val="clear" w:pos="708"/>
          <w:tab w:val="left" w:pos="567" w:leader="none"/>
        </w:tabs>
        <w:spacing w:lineRule="auto" w:line="360" w:before="57" w:after="57"/>
        <w:ind w:hanging="0"/>
        <w:rPr>
          <w:rFonts w:ascii="Verdana" w:hAnsi="Verdana"/>
          <w:sz w:val="22"/>
          <w:szCs w:val="22"/>
        </w:rPr>
      </w:pPr>
      <w:r>
        <w:rPr>
          <w:rFonts w:cs="Verdana" w:ascii="Verdana" w:hAnsi="Verdana"/>
          <w:b w:val="false"/>
          <w:bCs w:val="false"/>
          <w:sz w:val="22"/>
          <w:szCs w:val="22"/>
        </w:rPr>
        <w:t>10.5 Não serão aceitos documentos de habilitação com indicação de CNPJ/CPF diferentes, salvo aqueles legalmente permitidos.</w:t>
      </w:r>
    </w:p>
    <w:p>
      <w:pPr>
        <w:pStyle w:val="PADRO"/>
        <w:widowControl/>
        <w:tabs>
          <w:tab w:val="clear" w:pos="708"/>
          <w:tab w:val="left" w:pos="567" w:leader="none"/>
        </w:tabs>
        <w:spacing w:lineRule="auto" w:line="360" w:before="57" w:after="57"/>
        <w:ind w:hanging="0"/>
        <w:rPr>
          <w:rFonts w:ascii="Verdana" w:hAnsi="Verdana"/>
          <w:sz w:val="22"/>
          <w:szCs w:val="22"/>
        </w:rPr>
      </w:pPr>
      <w:r>
        <w:rPr>
          <w:rFonts w:cs="Verdana" w:ascii="Verdana" w:hAnsi="Verdana"/>
          <w:b w:val="false"/>
          <w:bCs w:val="false"/>
          <w:sz w:val="22"/>
          <w:szCs w:val="22"/>
        </w:rPr>
        <w:t>10.6 Serão aceitos registros de CNPJ de licitante matriz e filial com diferenças de números de documentos pertinentes ao CND e ao CRF/FGTS, quando for comprovada a centralização do recolhimento dessas contribuições.</w:t>
      </w:r>
    </w:p>
    <w:p>
      <w:pPr>
        <w:pStyle w:val="PADRO"/>
        <w:widowControl/>
        <w:tabs>
          <w:tab w:val="clear" w:pos="708"/>
          <w:tab w:val="left" w:pos="567" w:leader="none"/>
        </w:tabs>
        <w:spacing w:lineRule="auto" w:line="360" w:before="0" w:after="0"/>
        <w:ind w:hanging="0"/>
        <w:rPr>
          <w:rFonts w:ascii="Verdana" w:hAnsi="Verdana"/>
          <w:sz w:val="22"/>
          <w:szCs w:val="22"/>
        </w:rPr>
      </w:pPr>
      <w:r>
        <w:rPr>
          <w:rFonts w:cs="Verdana" w:ascii="Verdana" w:hAnsi="Verdana"/>
          <w:b w:val="false"/>
          <w:bCs w:val="false"/>
          <w:color w:val="000000"/>
          <w:sz w:val="22"/>
          <w:szCs w:val="22"/>
        </w:rPr>
        <w:t>10.7</w:t>
      </w:r>
      <w:r>
        <w:rPr>
          <w:rFonts w:cs="Verdana" w:ascii="Verdana" w:hAnsi="Verdana"/>
          <w:color w:val="000000"/>
          <w:sz w:val="22"/>
          <w:szCs w:val="22"/>
        </w:rPr>
        <w:t xml:space="preserve"> Ressalvado o disposto </w:t>
      </w:r>
      <w:r>
        <w:rPr>
          <w:rFonts w:eastAsia="WenQuanYi Micro Hei" w:cs="Verdana" w:ascii="Verdana" w:hAnsi="Verdana"/>
          <w:color w:val="000000"/>
          <w:kern w:val="0"/>
          <w:sz w:val="22"/>
          <w:szCs w:val="22"/>
          <w:lang w:val="pt-BR" w:eastAsia="zh-CN" w:bidi="hi-IN"/>
        </w:rPr>
        <w:t>na lei</w:t>
      </w:r>
      <w:r>
        <w:rPr>
          <w:rFonts w:cs="Verdana" w:ascii="Verdana" w:hAnsi="Verdana"/>
          <w:color w:val="000000"/>
          <w:sz w:val="22"/>
          <w:szCs w:val="22"/>
        </w:rPr>
        <w:t>, os licitantes deverão encaminhar, nos termos deste Edital, a documentação relacionada nos itens a seguir, para fins de habilitação:</w:t>
      </w:r>
    </w:p>
    <w:p>
      <w:pPr>
        <w:pStyle w:val="PADRO"/>
        <w:widowControl/>
        <w:tabs>
          <w:tab w:val="clear" w:pos="708"/>
          <w:tab w:val="left" w:pos="567" w:leader="none"/>
        </w:tabs>
        <w:spacing w:lineRule="auto" w:line="240" w:before="0" w:after="0"/>
        <w:ind w:hanging="0"/>
        <w:rPr>
          <w:rFonts w:ascii="Verdana" w:hAnsi="Verdana"/>
          <w:sz w:val="22"/>
          <w:szCs w:val="22"/>
        </w:rPr>
      </w:pPr>
      <w:r>
        <w:rPr>
          <w:rFonts w:ascii="Verdana" w:hAnsi="Verdana"/>
          <w:sz w:val="22"/>
          <w:szCs w:val="22"/>
        </w:rPr>
      </w:r>
    </w:p>
    <w:p>
      <w:pPr>
        <w:pStyle w:val="ListParagraph"/>
        <w:spacing w:lineRule="auto" w:line="276" w:before="57" w:after="57"/>
        <w:ind w:hanging="0" w:left="0" w:right="0"/>
        <w:contextualSpacing w:val="false"/>
        <w:jc w:val="both"/>
        <w:rPr>
          <w:rFonts w:ascii="Verdana" w:hAnsi="Verdana"/>
          <w:sz w:val="22"/>
          <w:szCs w:val="22"/>
        </w:rPr>
      </w:pPr>
      <w:r>
        <w:rPr>
          <w:rFonts w:cs="Verdana" w:ascii="Verdana" w:hAnsi="Verdana"/>
          <w:b/>
          <w:bCs/>
          <w:color w:val="000000"/>
          <w:sz w:val="22"/>
          <w:szCs w:val="22"/>
        </w:rPr>
        <w:tab/>
        <w:t>10.8 Habilitação jurídica:</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10.8.1 No caso de empresário individual: inscrição no Registro Público de Empresas Mercantis, a cargo da Junta Comercial da respectiva sede;</w:t>
      </w:r>
    </w:p>
    <w:p>
      <w:pPr>
        <w:pStyle w:val="ListParagraph"/>
        <w:spacing w:lineRule="auto" w:line="360" w:before="57" w:after="57"/>
        <w:ind w:hanging="0" w:left="0" w:right="0"/>
        <w:contextualSpacing w:val="false"/>
        <w:jc w:val="both"/>
        <w:rPr/>
      </w:pPr>
      <w:r>
        <w:rPr>
          <w:rFonts w:cs="Verdana" w:ascii="Verdana" w:hAnsi="Verdana"/>
          <w:b w:val="false"/>
          <w:bCs w:val="false"/>
          <w:color w:val="000000"/>
          <w:sz w:val="22"/>
          <w:szCs w:val="22"/>
        </w:rPr>
        <w:t xml:space="preserve">10.8.2 Em se tratando de microempreendedor individual – MEI: Certificado da Condição de Microempreendedor Individual – CCMEI, cuja aceitação ficará condicionada à verificação da autenticidade no sítio </w:t>
      </w:r>
      <w:hyperlink r:id="rId8">
        <w:r>
          <w:rPr>
            <w:rStyle w:val="Hyperlink"/>
            <w:rFonts w:cs="Verdana" w:ascii="Verdana" w:hAnsi="Verdana"/>
            <w:b w:val="false"/>
            <w:bCs w:val="false"/>
            <w:color w:val="000000"/>
            <w:sz w:val="22"/>
            <w:szCs w:val="22"/>
          </w:rPr>
          <w:t>www.portaldoempreendedor.gov.br</w:t>
        </w:r>
      </w:hyperlink>
      <w:r>
        <w:rPr>
          <w:rFonts w:cs="Verdana" w:ascii="Verdana" w:hAnsi="Verdana"/>
          <w:b w:val="false"/>
          <w:bCs w:val="false"/>
          <w:color w:val="000000"/>
          <w:sz w:val="22"/>
          <w:szCs w:val="22"/>
        </w:rPr>
        <w:t>;</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10.8.4 Inscrição no Registro Público de Empresas Mercantis onde opera, com averbação no Registro onde tem sede a matriz, no caso de ser o participante sucursal, filial ou agência;</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10.8.5 No caso de sociedade simples: inscrição do ato constitutivo no Registro Civil das Pessoas Jurídicas do local de sua sede, acompanhada de prova da indicação dos seus administradores;</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10.8.6</w:t>
      </w:r>
      <w:r>
        <w:rPr>
          <w:rFonts w:cs="Verdana" w:ascii="Verdana" w:hAnsi="Verdana"/>
          <w:b/>
          <w:bCs/>
          <w:color w:val="000000"/>
          <w:sz w:val="22"/>
          <w:szCs w:val="22"/>
        </w:rPr>
        <w:t xml:space="preserve"> </w:t>
      </w:r>
      <w:r>
        <w:rPr>
          <w:rFonts w:cs="Verdana" w:ascii="Verdana" w:hAnsi="Verdana"/>
          <w:bCs/>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360" w:before="57" w:after="57"/>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10.8.7 No caso de empresa ou sociedade estrangeira em funcionamento no País: decreto de autorização;</w:t>
      </w:r>
    </w:p>
    <w:p>
      <w:pPr>
        <w:pStyle w:val="ListParagraph"/>
        <w:spacing w:lineRule="auto" w:line="360" w:before="0" w:after="0"/>
        <w:ind w:hanging="0" w:left="0" w:right="0"/>
        <w:contextualSpacing w:val="false"/>
        <w:jc w:val="both"/>
        <w:rPr>
          <w:rFonts w:ascii="Verdana" w:hAnsi="Verdana"/>
          <w:sz w:val="22"/>
          <w:szCs w:val="22"/>
        </w:rPr>
      </w:pPr>
      <w:r>
        <w:rPr>
          <w:rFonts w:cs="Verdana" w:ascii="Verdana" w:hAnsi="Verdana"/>
          <w:b w:val="false"/>
          <w:bCs w:val="false"/>
          <w:color w:val="000000"/>
          <w:sz w:val="22"/>
          <w:szCs w:val="22"/>
        </w:rPr>
        <w:t>10.8.8 Os documentos acima deverão estar acompanhados de todas as alterações ou da c</w:t>
      </w:r>
      <w:r>
        <w:rPr>
          <w:rFonts w:cs="Verdana" w:ascii="Verdana" w:hAnsi="Verdana"/>
          <w:bCs/>
          <w:color w:val="000000"/>
          <w:sz w:val="22"/>
          <w:szCs w:val="22"/>
        </w:rPr>
        <w:t>onsolidação respectiva;</w:t>
      </w:r>
    </w:p>
    <w:p>
      <w:pPr>
        <w:pStyle w:val="ListParagraph"/>
        <w:spacing w:lineRule="auto" w:line="240" w:before="0" w:after="0"/>
        <w:ind w:hanging="0" w:left="0" w:right="0"/>
        <w:contextualSpacing w:val="false"/>
        <w:jc w:val="both"/>
        <w:rPr>
          <w:rFonts w:ascii="Verdana" w:hAnsi="Verdana" w:cs="Verdana"/>
          <w:bCs/>
          <w:color w:val="000000"/>
          <w:sz w:val="22"/>
          <w:szCs w:val="22"/>
        </w:rPr>
      </w:pPr>
      <w:r>
        <w:rPr>
          <w:rFonts w:cs="Verdana" w:ascii="Verdana" w:hAnsi="Verdana"/>
          <w:bCs/>
          <w:color w:val="000000"/>
          <w:sz w:val="22"/>
          <w:szCs w:val="22"/>
        </w:rPr>
      </w:r>
    </w:p>
    <w:p>
      <w:pPr>
        <w:pStyle w:val="ListParagraph"/>
        <w:spacing w:lineRule="auto" w:line="276" w:before="0" w:after="0"/>
        <w:ind w:hanging="0" w:left="0" w:right="0"/>
        <w:contextualSpacing w:val="false"/>
        <w:jc w:val="both"/>
        <w:rPr>
          <w:rFonts w:ascii="Verdana" w:hAnsi="Verdana"/>
          <w:sz w:val="22"/>
          <w:szCs w:val="22"/>
        </w:rPr>
      </w:pPr>
      <w:r>
        <w:rPr>
          <w:rFonts w:cs="Verdana" w:ascii="Verdana" w:hAnsi="Verdana"/>
          <w:b/>
          <w:bCs/>
          <w:color w:val="000000"/>
          <w:sz w:val="22"/>
          <w:szCs w:val="22"/>
        </w:rPr>
        <w:tab/>
        <w:t xml:space="preserve">10.9. Regularidade fiscal </w:t>
      </w:r>
      <w:r>
        <w:rPr>
          <w:rFonts w:cs="Verdana" w:ascii="Verdana" w:hAnsi="Verdana"/>
          <w:b/>
          <w:bCs/>
          <w:sz w:val="22"/>
          <w:szCs w:val="22"/>
        </w:rPr>
        <w:t>e trabalhista</w:t>
      </w:r>
      <w:r>
        <w:rPr>
          <w:rFonts w:cs="Verdana" w:ascii="Verdana" w:hAnsi="Verdana"/>
          <w:b/>
          <w:bCs/>
          <w:color w:val="0000FF"/>
          <w:sz w:val="22"/>
          <w:szCs w:val="22"/>
        </w:rPr>
        <w:t>:</w:t>
      </w:r>
    </w:p>
    <w:p>
      <w:pPr>
        <w:pStyle w:val="Normal"/>
        <w:snapToGrid w:val="false"/>
        <w:spacing w:lineRule="auto" w:line="360" w:before="57" w:after="57"/>
        <w:jc w:val="both"/>
        <w:rPr>
          <w:rFonts w:ascii="Verdana" w:hAnsi="Verdana"/>
          <w:sz w:val="22"/>
          <w:szCs w:val="22"/>
        </w:rPr>
      </w:pPr>
      <w:r>
        <w:rPr>
          <w:rFonts w:cs="Verdana" w:ascii="Verdana" w:hAnsi="Verdana"/>
          <w:b w:val="false"/>
          <w:bCs w:val="false"/>
          <w:sz w:val="22"/>
          <w:szCs w:val="22"/>
          <w:lang w:eastAsia="en-US"/>
        </w:rPr>
        <w:t>10.9.1 Prova de inscrição no Cadastro Nacional de Pessoas Jurídicas ou no Cadastro de Pessoas Físicas, conforme o caso;</w:t>
      </w:r>
    </w:p>
    <w:p>
      <w:pPr>
        <w:pStyle w:val="Normal"/>
        <w:snapToGrid w:val="false"/>
        <w:spacing w:lineRule="auto" w:line="360" w:before="57" w:after="57"/>
        <w:jc w:val="both"/>
        <w:rPr>
          <w:rFonts w:ascii="Verdana" w:hAnsi="Verdana"/>
          <w:sz w:val="22"/>
          <w:szCs w:val="22"/>
        </w:rPr>
      </w:pPr>
      <w:r>
        <w:rPr>
          <w:rFonts w:cs="Verdana" w:ascii="Verdana" w:hAnsi="Verdana"/>
          <w:b w:val="false"/>
          <w:bCs w:val="false"/>
          <w:sz w:val="22"/>
          <w:szCs w:val="22"/>
          <w:lang w:eastAsia="en-US"/>
        </w:rPr>
        <w:t>10.9.2 Certidão de regularidade junto à fazenda pública Municipal, do domicílio do Licitante;</w:t>
      </w:r>
    </w:p>
    <w:p>
      <w:pPr>
        <w:pStyle w:val="Normal"/>
        <w:snapToGrid w:val="false"/>
        <w:spacing w:lineRule="auto" w:line="360" w:before="57" w:after="57"/>
        <w:jc w:val="both"/>
        <w:rPr>
          <w:rFonts w:ascii="Verdana" w:hAnsi="Verdana"/>
          <w:sz w:val="22"/>
          <w:szCs w:val="22"/>
        </w:rPr>
      </w:pPr>
      <w:r>
        <w:rPr>
          <w:rFonts w:cs="Verdana" w:ascii="Verdana" w:hAnsi="Verdana"/>
          <w:b w:val="false"/>
          <w:bCs w:val="false"/>
          <w:sz w:val="22"/>
          <w:szCs w:val="22"/>
        </w:rPr>
        <w:t>10.9.3 Certidão de regularidade junto à fazenda pública Estadual, do domicílio do Licitante;</w:t>
      </w:r>
    </w:p>
    <w:p>
      <w:pPr>
        <w:pStyle w:val="Normal"/>
        <w:snapToGrid w:val="false"/>
        <w:spacing w:lineRule="auto" w:line="360" w:before="57" w:after="57"/>
        <w:jc w:val="both"/>
        <w:rPr>
          <w:rFonts w:ascii="Verdana" w:hAnsi="Verdana"/>
          <w:sz w:val="22"/>
          <w:szCs w:val="22"/>
        </w:rPr>
      </w:pPr>
      <w:r>
        <w:rPr>
          <w:rFonts w:cs="Verdana" w:ascii="Verdana" w:hAnsi="Verdana"/>
          <w:b w:val="false"/>
          <w:bCs w:val="false"/>
          <w:sz w:val="22"/>
          <w:szCs w:val="22"/>
        </w:rPr>
        <w:t>10.9.4 Certidão conjunta de regularidade junto à fazenda pública Federal, (Quitação de tributos e contribuições Federais e Quanto à dívida ativa da União) e junto ao INSS, conforme Portaria MF nº 358 de 05/09/2014;</w:t>
      </w:r>
    </w:p>
    <w:p>
      <w:pPr>
        <w:pStyle w:val="Normal"/>
        <w:snapToGrid w:val="false"/>
        <w:spacing w:lineRule="auto" w:line="360" w:before="57" w:after="57"/>
        <w:jc w:val="both"/>
        <w:rPr>
          <w:rFonts w:ascii="Verdana" w:hAnsi="Verdana"/>
          <w:sz w:val="22"/>
          <w:szCs w:val="22"/>
        </w:rPr>
      </w:pPr>
      <w:r>
        <w:rPr>
          <w:rFonts w:cs="Verdana" w:ascii="Verdana" w:hAnsi="Verdana"/>
          <w:b w:val="false"/>
          <w:bCs w:val="false"/>
          <w:sz w:val="22"/>
          <w:szCs w:val="22"/>
        </w:rPr>
        <w:t>10.9.5 Certidão de regularidade junto ao FGTS;</w:t>
      </w:r>
    </w:p>
    <w:p>
      <w:pPr>
        <w:pStyle w:val="Normal"/>
        <w:snapToGrid w:val="false"/>
        <w:spacing w:lineRule="auto" w:line="360" w:before="57" w:after="57"/>
        <w:jc w:val="both"/>
        <w:rPr>
          <w:rFonts w:ascii="Verdana" w:hAnsi="Verdana"/>
          <w:sz w:val="22"/>
          <w:szCs w:val="22"/>
        </w:rPr>
      </w:pPr>
      <w:r>
        <w:rPr>
          <w:rFonts w:cs="Verdana" w:ascii="Verdana" w:hAnsi="Verdana"/>
          <w:b w:val="false"/>
          <w:bCs w:val="false"/>
          <w:sz w:val="22"/>
          <w:szCs w:val="22"/>
          <w:lang w:eastAsia="en-US"/>
        </w:rPr>
        <w:t>10.9.6 Certidão Negativa De Débitos Trabalhistas (CNDT) de acordo com a Lei 12440 de 7 de julho de 2011.</w:t>
      </w:r>
    </w:p>
    <w:p>
      <w:pPr>
        <w:pStyle w:val="Normal"/>
        <w:snapToGrid w:val="false"/>
        <w:spacing w:lineRule="auto" w:line="360" w:before="0" w:after="0"/>
        <w:jc w:val="both"/>
        <w:rPr>
          <w:rFonts w:ascii="Verdana" w:hAnsi="Verdana"/>
          <w:sz w:val="22"/>
          <w:szCs w:val="22"/>
        </w:rPr>
      </w:pPr>
      <w:r>
        <w:rPr>
          <w:rFonts w:cs="Verdana" w:ascii="Verdana" w:hAnsi="Verdana"/>
          <w:b w:val="false"/>
          <w:bCs w:val="false"/>
          <w:color w:val="000000"/>
          <w:sz w:val="22"/>
          <w:szCs w:val="22"/>
          <w:lang w:eastAsia="en-US" w:bidi="pt-BR"/>
        </w:rPr>
        <w:t xml:space="preserve">10.9.7 Caso o vencedor do menor preço seja qualificado como microempresa ou empresa de pequeno porte </w:t>
      </w:r>
      <w:r>
        <w:rPr>
          <w:rFonts w:cs="Verdana" w:ascii="Verdana" w:hAnsi="Verdana"/>
          <w:b w:val="false"/>
          <w:bCs w:val="false"/>
          <w:color w:val="000000"/>
          <w:sz w:val="22"/>
          <w:szCs w:val="22"/>
          <w:lang w:eastAsia="en-US"/>
        </w:rPr>
        <w:t>deverá apresentar toda a documentação exigida para efeito de compr</w:t>
      </w:r>
      <w:r>
        <w:rPr>
          <w:rFonts w:cs="Verdana" w:ascii="Verdana" w:hAnsi="Verdana"/>
          <w:color w:val="000000"/>
          <w:sz w:val="22"/>
          <w:szCs w:val="22"/>
          <w:lang w:eastAsia="en-US"/>
        </w:rPr>
        <w:t>ovação de regularidade fiscal, mesmo que esta apresente alguma restrição, sob pena de inabilitação.</w:t>
      </w:r>
    </w:p>
    <w:p>
      <w:pPr>
        <w:pStyle w:val="ListParagraph"/>
        <w:spacing w:lineRule="auto" w:line="240" w:before="0" w:after="0"/>
        <w:ind w:hanging="0" w:left="0" w:right="0"/>
        <w:contextualSpacing w:val="false"/>
        <w:jc w:val="both"/>
        <w:rPr>
          <w:rFonts w:ascii="Verdana" w:hAnsi="Verdana" w:cs="Verdana"/>
          <w:b/>
          <w:color w:val="000000"/>
          <w:sz w:val="22"/>
          <w:szCs w:val="22"/>
        </w:rPr>
      </w:pPr>
      <w:r>
        <w:rPr>
          <w:rFonts w:cs="Verdana" w:ascii="Verdana" w:hAnsi="Verdana"/>
          <w:b/>
          <w:color w:val="000000"/>
          <w:sz w:val="22"/>
          <w:szCs w:val="22"/>
        </w:rPr>
      </w:r>
    </w:p>
    <w:p>
      <w:pPr>
        <w:pStyle w:val="ListParagraph"/>
        <w:spacing w:lineRule="auto" w:line="360" w:before="0" w:after="0"/>
        <w:ind w:hanging="0" w:left="0" w:right="0"/>
        <w:contextualSpacing w:val="false"/>
        <w:jc w:val="both"/>
        <w:rPr>
          <w:rFonts w:ascii="Verdana" w:hAnsi="Verdana"/>
          <w:sz w:val="22"/>
          <w:szCs w:val="22"/>
        </w:rPr>
      </w:pPr>
      <w:r>
        <w:rPr>
          <w:rFonts w:cs="Verdana" w:ascii="Verdana" w:hAnsi="Verdana"/>
          <w:b/>
          <w:color w:val="000000"/>
          <w:sz w:val="22"/>
          <w:szCs w:val="22"/>
        </w:rPr>
        <w:tab/>
        <w:t>10.10 Qualificação Econômico-Financeira</w:t>
      </w:r>
      <w:r>
        <w:rPr>
          <w:rFonts w:cs="Verdana" w:ascii="Verdana" w:hAnsi="Verdana"/>
          <w:color w:val="000000"/>
          <w:sz w:val="22"/>
          <w:szCs w:val="22"/>
        </w:rPr>
        <w:t>.</w:t>
      </w:r>
    </w:p>
    <w:p>
      <w:pPr>
        <w:pStyle w:val="Normal"/>
        <w:tabs>
          <w:tab w:val="clear" w:pos="708"/>
          <w:tab w:val="left" w:pos="850" w:leader="none"/>
        </w:tabs>
        <w:snapToGrid w:val="false"/>
        <w:spacing w:lineRule="auto" w:line="360" w:before="0" w:after="0"/>
        <w:jc w:val="both"/>
        <w:rPr>
          <w:rFonts w:ascii="Verdana" w:hAnsi="Verdana"/>
          <w:sz w:val="22"/>
          <w:szCs w:val="22"/>
        </w:rPr>
      </w:pPr>
      <w:r>
        <w:rPr>
          <w:rFonts w:cs="Verdana" w:ascii="Verdana" w:hAnsi="Verdana"/>
          <w:b w:val="false"/>
          <w:bCs w:val="false"/>
          <w:color w:val="000000"/>
          <w:sz w:val="22"/>
          <w:szCs w:val="22"/>
          <w:u w:val="none"/>
        </w:rPr>
        <w:t>a)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napToGrid w:val="false"/>
        <w:spacing w:lineRule="auto" w:line="360" w:before="57" w:after="57"/>
        <w:jc w:val="both"/>
        <w:rPr>
          <w:rFonts w:ascii="Verdana" w:hAnsi="Verdana"/>
          <w:sz w:val="22"/>
          <w:szCs w:val="22"/>
        </w:rPr>
      </w:pPr>
      <w:r>
        <w:rPr>
          <w:rFonts w:cs="Verdana" w:ascii="Verdana" w:hAnsi="Verdana"/>
          <w:b w:val="false"/>
          <w:bCs w:val="false"/>
          <w:color w:val="000000"/>
          <w:sz w:val="22"/>
          <w:szCs w:val="22"/>
          <w:u w:val="none"/>
        </w:rPr>
        <w:t>a.1)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napToGrid w:val="false"/>
        <w:spacing w:lineRule="auto" w:line="360" w:before="57" w:after="57"/>
        <w:jc w:val="both"/>
        <w:rPr>
          <w:rFonts w:ascii="Verdana" w:hAnsi="Verdana"/>
          <w:sz w:val="22"/>
          <w:szCs w:val="22"/>
        </w:rPr>
      </w:pPr>
      <w:r>
        <w:rPr>
          <w:rFonts w:cs="Verdana" w:ascii="Verdana" w:hAnsi="Verdana"/>
          <w:b w:val="false"/>
          <w:bCs w:val="false"/>
          <w:sz w:val="22"/>
          <w:szCs w:val="22"/>
          <w:u w:val="none"/>
        </w:rPr>
        <w:t>a.2) Para a contagem do prazo estabelecido na letra “a” deste capítulo, será contado a partir do primeiro dia que antecede a data da realização desta  licitação.</w:t>
      </w:r>
    </w:p>
    <w:p>
      <w:pPr>
        <w:pStyle w:val="Normal"/>
        <w:tabs>
          <w:tab w:val="clear" w:pos="708"/>
          <w:tab w:val="left" w:pos="850" w:leader="none"/>
        </w:tabs>
        <w:snapToGrid w:val="false"/>
        <w:spacing w:lineRule="auto" w:line="360" w:before="57" w:after="57"/>
        <w:ind w:hanging="0" w:left="-79" w:right="0"/>
        <w:jc w:val="both"/>
        <w:rPr>
          <w:rFonts w:ascii="Verdana" w:hAnsi="Verdana"/>
          <w:sz w:val="22"/>
          <w:szCs w:val="22"/>
        </w:rPr>
      </w:pPr>
      <w:r>
        <w:rPr>
          <w:rFonts w:cs="Verdana" w:ascii="Verdana" w:hAnsi="Verdana"/>
          <w:b w:val="false"/>
          <w:bCs w:val="false"/>
          <w:iCs/>
          <w:color w:val="000000"/>
          <w:sz w:val="22"/>
          <w:szCs w:val="22"/>
          <w:u w:val="none"/>
          <w:shd w:fill="auto" w:val="clear"/>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Standard"/>
        <w:tabs>
          <w:tab w:val="clear" w:pos="708"/>
          <w:tab w:val="left" w:pos="397" w:leader="none"/>
        </w:tabs>
        <w:spacing w:lineRule="auto" w:line="360"/>
        <w:jc w:val="both"/>
        <w:rPr>
          <w:rFonts w:ascii="Verdana" w:hAnsi="Verdana"/>
          <w:sz w:val="22"/>
          <w:szCs w:val="22"/>
        </w:rPr>
      </w:pPr>
      <w:r>
        <w:rPr>
          <w:rFonts w:cs="Verdana" w:ascii="Verdana" w:hAnsi="Verdana"/>
          <w:b/>
          <w:color w:val="000000"/>
          <w:sz w:val="22"/>
          <w:szCs w:val="22"/>
        </w:rPr>
        <w:t xml:space="preserve">b) </w:t>
      </w:r>
      <w:r>
        <w:rPr>
          <w:rFonts w:cs="Verdana" w:ascii="Verdana" w:hAnsi="Verdana"/>
          <w:b/>
          <w:bCs/>
          <w:color w:val="000000"/>
          <w:sz w:val="22"/>
          <w:szCs w:val="22"/>
        </w:rPr>
        <w:t>BALANÇO PATRIMONIAL DA EMPRESA</w:t>
      </w:r>
      <w:r>
        <w:rPr>
          <w:rFonts w:cs="Verdana" w:ascii="Verdana" w:hAnsi="Verdana"/>
          <w:color w:val="000000"/>
          <w:sz w:val="22"/>
          <w:szCs w:val="22"/>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pPr>
        <w:pStyle w:val="Standard"/>
        <w:tabs>
          <w:tab w:val="clear" w:pos="708"/>
          <w:tab w:val="left" w:pos="397" w:leader="none"/>
        </w:tabs>
        <w:spacing w:lineRule="auto" w:line="360"/>
        <w:jc w:val="both"/>
        <w:rPr>
          <w:rFonts w:ascii="Verdana" w:hAnsi="Verdana"/>
          <w:sz w:val="22"/>
          <w:szCs w:val="22"/>
        </w:rPr>
      </w:pPr>
      <w:r>
        <w:rPr>
          <w:rFonts w:cs="Verdana" w:ascii="Verdana" w:hAnsi="Verdana"/>
          <w:b/>
          <w:color w:val="000000"/>
          <w:sz w:val="22"/>
          <w:szCs w:val="22"/>
        </w:rPr>
        <w:t>b1) PARA MICROEMPRESAS</w:t>
      </w:r>
      <w:r>
        <w:rPr>
          <w:rFonts w:cs="Verdana" w:ascii="Verdana" w:hAnsi="Verdana"/>
          <w:color w:val="000000"/>
          <w:sz w:val="22"/>
          <w:szCs w:val="22"/>
        </w:rPr>
        <w:t>:</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da licitante enquadrar-se como ME ou EPP:</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pPr>
        <w:pStyle w:val="Standard"/>
        <w:tabs>
          <w:tab w:val="clear" w:pos="708"/>
          <w:tab w:val="left" w:pos="397" w:leader="none"/>
        </w:tabs>
        <w:spacing w:lineRule="auto" w:line="360"/>
        <w:jc w:val="both"/>
        <w:rPr>
          <w:rFonts w:ascii="Verdana" w:hAnsi="Verdana"/>
          <w:sz w:val="22"/>
          <w:szCs w:val="22"/>
        </w:rPr>
      </w:pPr>
      <w:r>
        <w:rPr>
          <w:rFonts w:cs="Verdana" w:ascii="Verdana" w:hAnsi="Verdana"/>
          <w:b w:val="false"/>
          <w:bCs w:val="false"/>
          <w:color w:val="000000"/>
          <w:sz w:val="22"/>
          <w:szCs w:val="22"/>
        </w:rPr>
        <w:t xml:space="preserve">b.1.3) Quando a empresa apresentar o SPED – Contábil enviado para A RFB – </w:t>
      </w:r>
      <w:r>
        <w:rPr>
          <w:rFonts w:cs="Verdana" w:ascii="Verdana" w:hAnsi="Verdana"/>
          <w:color w:val="000000"/>
          <w:sz w:val="22"/>
          <w:szCs w:val="22"/>
        </w:rPr>
        <w:t>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Standard"/>
        <w:tabs>
          <w:tab w:val="clear" w:pos="708"/>
          <w:tab w:val="left" w:pos="397" w:leader="none"/>
        </w:tabs>
        <w:spacing w:lineRule="auto" w:line="360"/>
        <w:jc w:val="both"/>
        <w:rPr>
          <w:rFonts w:ascii="Verdana" w:hAnsi="Verdana"/>
          <w:sz w:val="22"/>
          <w:szCs w:val="22"/>
        </w:rPr>
      </w:pPr>
      <w:r>
        <w:rPr>
          <w:rFonts w:cs="Verdana" w:ascii="Verdana" w:hAnsi="Verdana"/>
          <w:b/>
          <w:color w:val="000000"/>
          <w:sz w:val="22"/>
          <w:szCs w:val="22"/>
        </w:rPr>
        <w:t>b.2) PARA EMPRESA DE MÉDIO E GRANDE PORTE</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da licitante enquadrar-se como Média empresa:</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b.3) S/A – Sociedades Anônimas</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b.4) As empresas constituídas no exercício em curso deverão apresentar a cópia do balanço de abertura ou cópia do livro diário contendo o balanço de abertura, inclusive os termos de abertura e encerramento.</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pPr>
        <w:pStyle w:val="Standard"/>
        <w:tabs>
          <w:tab w:val="clear" w:pos="708"/>
          <w:tab w:val="left" w:pos="397"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c.1) Os Índices financeiros que deverão ser comprovados são:</w:t>
      </w:r>
    </w:p>
    <w:p>
      <w:pPr>
        <w:pStyle w:val="Standard"/>
        <w:tabs>
          <w:tab w:val="clear" w:pos="708"/>
          <w:tab w:val="left" w:pos="1985" w:leader="none"/>
          <w:tab w:val="left" w:pos="2268" w:leader="none"/>
        </w:tabs>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Índice de Liquidez Geral - ILG igual ou superior a 1,00 (um)</w:t>
      </w:r>
    </w:p>
    <w:p>
      <w:pPr>
        <w:pStyle w:val="Standard"/>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ILG</w:t>
        <w:tab/>
        <w:t xml:space="preserve">= </w:t>
        <w:tab/>
      </w:r>
      <w:r>
        <w:rPr>
          <w:rFonts w:cs="Verdana" w:ascii="Verdana" w:hAnsi="Verdana"/>
          <w:b w:val="false"/>
          <w:bCs w:val="false"/>
          <w:color w:val="000000"/>
          <w:sz w:val="22"/>
          <w:szCs w:val="22"/>
          <w:u w:val="single"/>
        </w:rPr>
        <w:t>Ativo Circulante + Realizável a Longo Prazo</w:t>
      </w:r>
    </w:p>
    <w:p>
      <w:pPr>
        <w:pStyle w:val="Standard"/>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ab/>
        <w:t xml:space="preserve">          </w:t>
        <w:tab/>
        <w:tab/>
        <w:t>Passivo Circulante + Exigível a Longo Prazo</w:t>
      </w:r>
    </w:p>
    <w:p>
      <w:pPr>
        <w:pStyle w:val="Standard"/>
        <w:spacing w:lineRule="auto" w:line="360"/>
        <w:ind w:hanging="567" w:left="567"/>
        <w:jc w:val="both"/>
        <w:rPr>
          <w:rFonts w:ascii="Verdana" w:hAnsi="Verdana" w:cs="Verdana"/>
          <w:b w:val="false"/>
          <w:bCs w:val="false"/>
          <w:color w:val="000000"/>
          <w:sz w:val="22"/>
          <w:szCs w:val="22"/>
        </w:rPr>
      </w:pPr>
      <w:r>
        <w:rPr>
          <w:rFonts w:cs="Verdana" w:ascii="Verdana" w:hAnsi="Verdana"/>
          <w:b w:val="false"/>
          <w:bCs w:val="false"/>
          <w:color w:val="000000"/>
          <w:sz w:val="22"/>
          <w:szCs w:val="22"/>
        </w:rPr>
      </w:r>
    </w:p>
    <w:p>
      <w:pPr>
        <w:pStyle w:val="Standard"/>
        <w:tabs>
          <w:tab w:val="clear" w:pos="708"/>
          <w:tab w:val="left" w:pos="1985" w:leader="none"/>
          <w:tab w:val="left" w:pos="2268" w:leader="none"/>
        </w:tabs>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Índice de Liquidez Corrente – ILC igual ou superior a 1,00 (um)</w:t>
      </w:r>
    </w:p>
    <w:p>
      <w:pPr>
        <w:pStyle w:val="Standard"/>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ILC</w:t>
        <w:tab/>
        <w:t xml:space="preserve">=     </w:t>
        <w:tab/>
      </w:r>
      <w:r>
        <w:rPr>
          <w:rFonts w:cs="Verdana" w:ascii="Verdana" w:hAnsi="Verdana"/>
          <w:b w:val="false"/>
          <w:bCs w:val="false"/>
          <w:color w:val="000000"/>
          <w:sz w:val="22"/>
          <w:szCs w:val="22"/>
          <w:u w:val="single"/>
        </w:rPr>
        <w:t>Ativo Circulante</w:t>
      </w:r>
    </w:p>
    <w:p>
      <w:pPr>
        <w:pStyle w:val="Standard"/>
        <w:tabs>
          <w:tab w:val="clear" w:pos="708"/>
          <w:tab w:val="left" w:pos="2694" w:leader="none"/>
        </w:tabs>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ab/>
        <w:t>Passivo Circulante</w:t>
      </w:r>
    </w:p>
    <w:p>
      <w:pPr>
        <w:pStyle w:val="Standard"/>
        <w:spacing w:lineRule="auto" w:line="360"/>
        <w:ind w:hanging="567" w:left="567"/>
        <w:jc w:val="both"/>
        <w:rPr>
          <w:rFonts w:ascii="Verdana" w:hAnsi="Verdana" w:cs="Verdana"/>
          <w:b w:val="false"/>
          <w:bCs w:val="false"/>
          <w:color w:val="000000"/>
          <w:sz w:val="22"/>
          <w:szCs w:val="22"/>
        </w:rPr>
      </w:pPr>
      <w:r>
        <w:rPr>
          <w:rFonts w:cs="Verdana" w:ascii="Verdana" w:hAnsi="Verdana"/>
          <w:b w:val="false"/>
          <w:bCs w:val="false"/>
          <w:color w:val="000000"/>
          <w:sz w:val="22"/>
          <w:szCs w:val="22"/>
        </w:rPr>
      </w:r>
    </w:p>
    <w:p>
      <w:pPr>
        <w:pStyle w:val="Standard"/>
        <w:tabs>
          <w:tab w:val="clear" w:pos="708"/>
          <w:tab w:val="left" w:pos="1985" w:leader="none"/>
          <w:tab w:val="left" w:pos="2268" w:leader="none"/>
        </w:tabs>
        <w:spacing w:lineRule="auto" w:line="360"/>
        <w:ind w:hanging="567" w:left="567"/>
        <w:jc w:val="both"/>
        <w:rPr>
          <w:rFonts w:ascii="Verdana" w:hAnsi="Verdana"/>
          <w:b w:val="false"/>
          <w:bCs w:val="false"/>
          <w:sz w:val="22"/>
          <w:szCs w:val="22"/>
        </w:rPr>
      </w:pPr>
      <w:r>
        <w:rPr>
          <w:rFonts w:cs="Verdana" w:ascii="Verdana" w:hAnsi="Verdana"/>
          <w:b w:val="false"/>
          <w:bCs w:val="false"/>
          <w:color w:val="000000"/>
          <w:sz w:val="22"/>
          <w:szCs w:val="22"/>
        </w:rPr>
        <w:tab/>
        <w:t>Índice de Endividamento Geral – IEG igual ou inferior a 1,00 (um)</w:t>
      </w:r>
    </w:p>
    <w:p>
      <w:pPr>
        <w:pStyle w:val="Standard"/>
        <w:spacing w:lineRule="auto" w:line="360"/>
        <w:ind w:left="567"/>
        <w:jc w:val="both"/>
        <w:rPr>
          <w:rFonts w:ascii="Verdana" w:hAnsi="Verdana"/>
          <w:b w:val="false"/>
          <w:bCs w:val="false"/>
          <w:sz w:val="22"/>
          <w:szCs w:val="22"/>
        </w:rPr>
      </w:pPr>
      <w:r>
        <w:rPr>
          <w:rFonts w:cs="Verdana" w:ascii="Verdana" w:hAnsi="Verdana"/>
          <w:b w:val="false"/>
          <w:bCs w:val="false"/>
          <w:color w:val="000000"/>
          <w:sz w:val="22"/>
          <w:szCs w:val="22"/>
        </w:rPr>
        <w:t>IEG</w:t>
        <w:tab/>
        <w:t xml:space="preserve">= </w:t>
      </w:r>
      <w:r>
        <w:rPr>
          <w:rFonts w:cs="Verdana" w:ascii="Verdana" w:hAnsi="Verdana"/>
          <w:b w:val="false"/>
          <w:bCs w:val="false"/>
          <w:color w:val="000000"/>
          <w:sz w:val="22"/>
          <w:szCs w:val="22"/>
          <w:u w:val="single"/>
        </w:rPr>
        <w:t>Passivo Circulante + Exigível à Longo Prazo</w:t>
      </w:r>
    </w:p>
    <w:p>
      <w:pPr>
        <w:pStyle w:val="Standard"/>
        <w:tabs>
          <w:tab w:val="clear" w:pos="708"/>
          <w:tab w:val="left" w:pos="0" w:leader="none"/>
          <w:tab w:val="left" w:pos="426" w:leader="none"/>
        </w:tabs>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ab/>
        <w:t xml:space="preserve">                                  Ativo Total</w:t>
      </w:r>
    </w:p>
    <w:p>
      <w:pPr>
        <w:pStyle w:val="Standard1"/>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 xml:space="preserve">c.2) Os licitantes que apresentarem resultado menor do que 1,00 (um), em qualquer dos índices referidos acima, quando de suas habilitações, deverão comprovar </w:t>
      </w:r>
      <w:r>
        <w:rPr>
          <w:rFonts w:cs="Verdana" w:ascii="Verdana" w:hAnsi="Verdana"/>
          <w:b w:val="false"/>
          <w:bCs w:val="false"/>
          <w:color w:val="000000"/>
          <w:sz w:val="22"/>
          <w:szCs w:val="22"/>
          <w:u w:val="single"/>
        </w:rPr>
        <w:t>patrimônio líquido mínimo, na forma dos §§ 2 º e 3º, do artigo 31, da Lei nº. 8.666/1993;</w:t>
      </w:r>
    </w:p>
    <w:p>
      <w:pPr>
        <w:pStyle w:val="Standard1"/>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pPr>
        <w:pStyle w:val="Standard1"/>
        <w:spacing w:lineRule="auto" w:line="360"/>
        <w:jc w:val="both"/>
        <w:rPr>
          <w:rFonts w:ascii="Verdana" w:hAnsi="Verdana"/>
          <w:b w:val="false"/>
          <w:bCs w:val="false"/>
          <w:sz w:val="22"/>
          <w:szCs w:val="22"/>
        </w:rPr>
      </w:pPr>
      <w:r>
        <w:rPr>
          <w:rFonts w:cs="Verdana" w:ascii="Verdana" w:hAnsi="Verdana"/>
          <w:b w:val="false"/>
          <w:bCs w:val="false"/>
          <w:color w:val="000000"/>
          <w:sz w:val="22"/>
          <w:szCs w:val="22"/>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pPr>
        <w:pStyle w:val="Standard1"/>
        <w:spacing w:lineRule="auto" w:line="360"/>
        <w:jc w:val="both"/>
        <w:rPr>
          <w:rFonts w:ascii="Verdana" w:hAnsi="Verdana"/>
          <w:sz w:val="22"/>
          <w:szCs w:val="22"/>
        </w:rPr>
      </w:pPr>
      <w:r>
        <w:rPr>
          <w:rFonts w:cs="Verdana" w:ascii="Verdana" w:hAnsi="Verdana"/>
          <w:b w:val="false"/>
          <w:bCs w:val="false"/>
          <w:color w:val="000000"/>
          <w:sz w:val="22"/>
          <w:szCs w:val="22"/>
        </w:rPr>
        <w:t xml:space="preserve">c.5) Caso o objeto contratual venha a ser cumprido por filial do licitante, os documentos exigidos neste item também deverão ser apresentados pela filial executora do contrato, sem prejuízo para a exigência de apresentação dos </w:t>
      </w:r>
      <w:r>
        <w:rPr>
          <w:rFonts w:cs="Verdana" w:ascii="Verdana" w:hAnsi="Verdana"/>
          <w:color w:val="000000"/>
          <w:sz w:val="22"/>
          <w:szCs w:val="22"/>
        </w:rPr>
        <w:t>documentos relativos à sua matriz.</w:t>
      </w:r>
    </w:p>
    <w:p>
      <w:pPr>
        <w:pStyle w:val="Standard1"/>
        <w:spacing w:lineRule="auto" w:line="240"/>
        <w:jc w:val="both"/>
        <w:rPr>
          <w:rFonts w:ascii="Verdana" w:hAnsi="Verdana" w:cs="Verdana"/>
          <w:b/>
          <w:bCs/>
          <w:color w:val="000000"/>
          <w:sz w:val="22"/>
          <w:szCs w:val="22"/>
          <w:u w:val="single"/>
        </w:rPr>
      </w:pPr>
      <w:r>
        <w:rPr>
          <w:rFonts w:cs="Verdana" w:ascii="Verdana" w:hAnsi="Verdana"/>
          <w:b/>
          <w:bCs/>
          <w:color w:val="000000"/>
          <w:sz w:val="22"/>
          <w:szCs w:val="22"/>
          <w:u w:val="single"/>
        </w:rPr>
      </w:r>
    </w:p>
    <w:p>
      <w:pPr>
        <w:pStyle w:val="Standard1"/>
        <w:spacing w:lineRule="auto" w:line="360"/>
        <w:jc w:val="both"/>
        <w:rPr>
          <w:rFonts w:ascii="Verdana" w:hAnsi="Verdana"/>
          <w:sz w:val="22"/>
          <w:szCs w:val="22"/>
          <w:u w:val="none"/>
        </w:rPr>
      </w:pPr>
      <w:r>
        <w:rPr>
          <w:rFonts w:cs="Verdana" w:ascii="Verdana" w:hAnsi="Verdana"/>
          <w:b/>
          <w:bCs/>
          <w:color w:val="000000"/>
          <w:sz w:val="22"/>
          <w:szCs w:val="22"/>
          <w:u w:val="none"/>
        </w:rPr>
        <w:t xml:space="preserve">10.11 </w:t>
      </w:r>
      <w:r>
        <w:rPr>
          <w:rFonts w:eastAsia="Batang, 바탕" w:cs="Verdana" w:ascii="Verdana" w:hAnsi="Verdana"/>
          <w:b/>
          <w:color w:val="000000"/>
          <w:sz w:val="22"/>
          <w:szCs w:val="22"/>
          <w:u w:val="none"/>
        </w:rPr>
        <w:t xml:space="preserve"> CUMPRIMENTO AO DISPOSTO NO INCISO XXXIII DO ART. 7º DA CONSTITUIÇÃO FEDERAL.</w:t>
      </w:r>
    </w:p>
    <w:p>
      <w:pPr>
        <w:pStyle w:val="Normal"/>
        <w:spacing w:lineRule="auto" w:line="360"/>
        <w:jc w:val="both"/>
        <w:rPr>
          <w:rFonts w:ascii="Verdana" w:hAnsi="Verdana"/>
          <w:sz w:val="22"/>
          <w:szCs w:val="22"/>
        </w:rPr>
      </w:pPr>
      <w:r>
        <w:rPr>
          <w:rFonts w:eastAsia="Batang, 바탕" w:cs="Verdana" w:ascii="Verdana" w:hAnsi="Verdana"/>
          <w:b w:val="false"/>
          <w:bCs w:val="false"/>
          <w:color w:val="000000"/>
          <w:sz w:val="22"/>
          <w:szCs w:val="22"/>
        </w:rPr>
        <w:t xml:space="preserve">a) </w:t>
      </w:r>
      <w:r>
        <w:rPr>
          <w:rFonts w:eastAsia="Arial" w:cs="Verdana" w:ascii="Verdana" w:hAnsi="Verdana"/>
          <w:b w:val="false"/>
          <w:bCs w:val="false"/>
          <w:color w:val="000000"/>
          <w:sz w:val="22"/>
          <w:szCs w:val="22"/>
        </w:rPr>
        <w:t>Declaração de que a empresa não possui em seu quadro funcional, empregados menores</w:t>
      </w:r>
      <w:r>
        <w:rPr>
          <w:rFonts w:eastAsia="Arial" w:cs="Verdana" w:ascii="Verdana" w:hAnsi="Verdana"/>
          <w:color w:val="000000"/>
          <w:sz w:val="22"/>
          <w:szCs w:val="22"/>
        </w:rPr>
        <w:t xml:space="preserve"> de 18 anos atuando em trabalho noturno, perigoso ou insalubre e ainda que não possua menores de 16 anos trabalhando na empresa, salvo no caso de aprendiz que somente poderá ocorrer a partir dos 14 anos de idade.</w:t>
      </w:r>
    </w:p>
    <w:p>
      <w:pPr>
        <w:pStyle w:val="Normal"/>
        <w:spacing w:lineRule="auto" w:line="240"/>
        <w:ind w:hanging="0" w:left="0" w:right="0"/>
        <w:jc w:val="both"/>
        <w:rPr>
          <w:rFonts w:ascii="Verdana" w:hAnsi="Verdana"/>
          <w:sz w:val="22"/>
          <w:szCs w:val="22"/>
        </w:rPr>
      </w:pPr>
      <w:r>
        <w:rPr>
          <w:rFonts w:ascii="Verdana" w:hAnsi="Verdana"/>
          <w:sz w:val="22"/>
          <w:szCs w:val="22"/>
        </w:rPr>
      </w:r>
    </w:p>
    <w:p>
      <w:pPr>
        <w:pStyle w:val="Normal"/>
        <w:suppressAutoHyphens w:val="false"/>
        <w:spacing w:lineRule="auto" w:line="360" w:before="0" w:after="0"/>
        <w:jc w:val="both"/>
        <w:rPr>
          <w:rFonts w:ascii="Verdana" w:hAnsi="Verdana"/>
          <w:sz w:val="22"/>
          <w:szCs w:val="22"/>
        </w:rPr>
      </w:pPr>
      <w:r>
        <w:rPr>
          <w:rFonts w:cs="Arial" w:ascii="Verdana" w:hAnsi="Verdana"/>
          <w:b/>
          <w:sz w:val="22"/>
          <w:szCs w:val="22"/>
        </w:rPr>
        <w:t>11. CONTRATAÇÕES CORRELATAS E/OU INTERDEPENDENTES</w:t>
      </w:r>
    </w:p>
    <w:p>
      <w:pPr>
        <w:pStyle w:val="Normal"/>
        <w:suppressAutoHyphens w:val="false"/>
        <w:spacing w:lineRule="auto" w:line="360"/>
        <w:jc w:val="both"/>
        <w:rPr>
          <w:rFonts w:ascii="Verdana" w:hAnsi="Verdana"/>
          <w:sz w:val="22"/>
          <w:szCs w:val="22"/>
        </w:rPr>
      </w:pPr>
      <w:r>
        <w:rPr>
          <w:rFonts w:cs="Arial" w:ascii="Verdana" w:hAnsi="Verdana"/>
          <w:b w:val="false"/>
          <w:bCs w:val="false"/>
          <w:sz w:val="22"/>
          <w:szCs w:val="22"/>
        </w:rPr>
        <w:t>11.1. Não se verifica contratações correlatas ou interdependentes para a viabilidade e contratação desta demanda.</w:t>
      </w:r>
    </w:p>
    <w:p>
      <w:pPr>
        <w:pStyle w:val="Normal"/>
        <w:suppressAutoHyphens w:val="false"/>
        <w:spacing w:lineRule="auto" w:line="240"/>
        <w:jc w:val="both"/>
        <w:rPr>
          <w:rFonts w:ascii="Verdana" w:hAnsi="Verdana" w:cs="Arial"/>
          <w:sz w:val="22"/>
          <w:szCs w:val="22"/>
        </w:rPr>
      </w:pPr>
      <w:r>
        <w:rPr>
          <w:rFonts w:cs="Arial" w:ascii="Verdana" w:hAnsi="Verdana"/>
          <w:sz w:val="22"/>
          <w:szCs w:val="22"/>
        </w:rPr>
      </w:r>
    </w:p>
    <w:p>
      <w:pPr>
        <w:pStyle w:val="Normal"/>
        <w:suppressAutoHyphens w:val="false"/>
        <w:spacing w:lineRule="auto" w:line="360"/>
        <w:jc w:val="both"/>
        <w:rPr>
          <w:rFonts w:ascii="Verdana" w:hAnsi="Verdana"/>
          <w:sz w:val="22"/>
          <w:szCs w:val="22"/>
        </w:rPr>
      </w:pPr>
      <w:r>
        <w:rPr>
          <w:rFonts w:cs="Arial" w:ascii="Verdana" w:hAnsi="Verdana"/>
          <w:b/>
          <w:sz w:val="22"/>
          <w:szCs w:val="22"/>
        </w:rPr>
        <w:t>12. RESULTADOS PRETENDIDOS COM A CONTRATAÇÃO</w:t>
      </w:r>
    </w:p>
    <w:p>
      <w:pPr>
        <w:pStyle w:val="Normal"/>
        <w:spacing w:lineRule="auto" w:line="360"/>
        <w:jc w:val="both"/>
        <w:rPr>
          <w:rFonts w:ascii="Verdana" w:hAnsi="Verdana" w:cs="Arial"/>
          <w:b w:val="false"/>
          <w:bCs w:val="false"/>
          <w:sz w:val="22"/>
          <w:szCs w:val="22"/>
        </w:rPr>
      </w:pPr>
      <w:r>
        <w:rPr>
          <w:rFonts w:cs="Arial" w:ascii="Verdana" w:hAnsi="Verdana"/>
          <w:b w:val="false"/>
          <w:bCs w:val="false"/>
          <w:sz w:val="22"/>
          <w:szCs w:val="22"/>
        </w:rPr>
        <w:t xml:space="preserve">12.1 </w:t>
      </w:r>
      <w:r>
        <w:rPr>
          <w:rFonts w:cs="Arial" w:ascii="Verdana" w:hAnsi="Verdana"/>
          <w:b w:val="false"/>
          <w:bCs w:val="false"/>
          <w:color w:val="000000"/>
          <w:sz w:val="22"/>
          <w:szCs w:val="22"/>
        </w:rPr>
        <w:t>Regularização do funcionamento da Câmara Municipal, com obtenção do alvará do Corpo de Bombeiros, garantia de segurança aos servidores, vereadores e à população, conformidade legal e técnica da edificação pública e evitar paralisações administrativas e riscos jurídicos.</w:t>
      </w:r>
    </w:p>
    <w:p>
      <w:pPr>
        <w:pStyle w:val="Normal"/>
        <w:spacing w:lineRule="auto" w:line="240"/>
        <w:jc w:val="both"/>
        <w:rPr>
          <w:rFonts w:ascii="Verdana" w:hAnsi="Verdana" w:cs="Arial"/>
          <w:b/>
          <w:sz w:val="22"/>
          <w:szCs w:val="22"/>
        </w:rPr>
      </w:pPr>
      <w:r>
        <w:rPr>
          <w:rFonts w:cs="Arial" w:ascii="Verdana" w:hAnsi="Verdana"/>
          <w:b/>
          <w:sz w:val="22"/>
          <w:szCs w:val="22"/>
        </w:rPr>
      </w:r>
    </w:p>
    <w:p>
      <w:pPr>
        <w:pStyle w:val="Normal"/>
        <w:spacing w:lineRule="auto" w:line="360"/>
        <w:jc w:val="both"/>
        <w:rPr>
          <w:rFonts w:ascii="Verdana" w:hAnsi="Verdana"/>
          <w:sz w:val="22"/>
          <w:szCs w:val="22"/>
        </w:rPr>
      </w:pPr>
      <w:r>
        <w:rPr>
          <w:rFonts w:cs="Arial" w:ascii="Verdana" w:hAnsi="Verdana"/>
          <w:b/>
          <w:sz w:val="22"/>
          <w:szCs w:val="22"/>
        </w:rPr>
        <w:t>13. PROVIDÊNCIAS A SEREM ADOTADAS</w:t>
      </w:r>
    </w:p>
    <w:p>
      <w:pPr>
        <w:pStyle w:val="Normal"/>
        <w:spacing w:lineRule="auto" w:line="360"/>
        <w:jc w:val="both"/>
        <w:rPr>
          <w:rFonts w:ascii="Verdana" w:hAnsi="Verdana"/>
          <w:sz w:val="22"/>
          <w:szCs w:val="22"/>
        </w:rPr>
      </w:pPr>
      <w:r>
        <w:rPr>
          <w:rFonts w:cs="Arial" w:ascii="Verdana" w:hAnsi="Verdana"/>
          <w:b w:val="false"/>
          <w:bCs w:val="false"/>
          <w:sz w:val="22"/>
          <w:szCs w:val="22"/>
        </w:rPr>
        <w:t xml:space="preserve">13.1. </w:t>
      </w:r>
      <w:r>
        <w:rPr>
          <w:rFonts w:cs="Arial" w:ascii="Verdana" w:hAnsi="Verdana"/>
          <w:b w:val="false"/>
          <w:bCs w:val="false"/>
          <w:sz w:val="22"/>
          <w:szCs w:val="22"/>
          <w:shd w:fill="auto" w:val="clear"/>
        </w:rPr>
        <w:t xml:space="preserve">A Administração Pública contará com o </w:t>
      </w:r>
      <w:r>
        <w:rPr>
          <w:rFonts w:eastAsia="Times New Roman" w:cs="Arial" w:ascii="Verdana" w:hAnsi="Verdana"/>
          <w:b w:val="false"/>
          <w:bCs w:val="false"/>
          <w:color w:val="000000"/>
          <w:kern w:val="0"/>
          <w:sz w:val="22"/>
          <w:szCs w:val="22"/>
          <w:shd w:fill="auto" w:val="clear"/>
          <w:lang w:val="pt-BR" w:eastAsia="zh-CN" w:bidi="ar-SA"/>
        </w:rPr>
        <w:t>Departamento de Engenharia responsável por acompanhar a execução dos serviços.</w:t>
      </w:r>
    </w:p>
    <w:p>
      <w:pPr>
        <w:pStyle w:val="Normal"/>
        <w:spacing w:lineRule="auto" w:line="240"/>
        <w:jc w:val="both"/>
        <w:rPr>
          <w:rFonts w:ascii="Verdana" w:hAnsi="Verdana" w:cs="Arial"/>
          <w:b w:val="false"/>
          <w:bCs w:val="false"/>
          <w:sz w:val="22"/>
          <w:szCs w:val="22"/>
        </w:rPr>
      </w:pPr>
      <w:r>
        <w:rPr>
          <w:rFonts w:cs="Arial" w:ascii="Verdana" w:hAnsi="Verdana"/>
          <w:b w:val="false"/>
          <w:bCs w:val="false"/>
          <w:sz w:val="22"/>
          <w:szCs w:val="22"/>
        </w:rPr>
      </w:r>
    </w:p>
    <w:p>
      <w:pPr>
        <w:pStyle w:val="Normal"/>
        <w:suppressAutoHyphens w:val="false"/>
        <w:spacing w:lineRule="auto" w:line="360"/>
        <w:jc w:val="both"/>
        <w:rPr>
          <w:rFonts w:ascii="Verdana" w:hAnsi="Verdana"/>
          <w:sz w:val="22"/>
          <w:szCs w:val="22"/>
        </w:rPr>
      </w:pPr>
      <w:r>
        <w:rPr>
          <w:rFonts w:cs="Arial" w:ascii="Verdana" w:hAnsi="Verdana"/>
          <w:b/>
          <w:sz w:val="22"/>
          <w:szCs w:val="22"/>
        </w:rPr>
        <w:t>14. POSSÍVEIS IMPACTOS AMBIENTAIS</w:t>
      </w:r>
    </w:p>
    <w:p>
      <w:pPr>
        <w:pStyle w:val="Normal"/>
        <w:spacing w:lineRule="auto" w:line="360"/>
        <w:jc w:val="both"/>
        <w:rPr>
          <w:rFonts w:ascii="Verdana" w:hAnsi="Verdana" w:cs="Arial"/>
          <w:b w:val="false"/>
          <w:bCs w:val="false"/>
          <w:sz w:val="22"/>
          <w:szCs w:val="22"/>
        </w:rPr>
      </w:pPr>
      <w:r>
        <w:rPr>
          <w:rFonts w:cs="Arial" w:ascii="Verdana" w:hAnsi="Verdana"/>
          <w:b w:val="false"/>
          <w:bCs w:val="false"/>
          <w:sz w:val="22"/>
          <w:szCs w:val="22"/>
        </w:rPr>
        <w:t xml:space="preserve">14.1 </w:t>
      </w:r>
      <w:r>
        <w:rPr>
          <w:rFonts w:cs="Arial" w:ascii="Verdana" w:hAnsi="Verdana"/>
          <w:b w:val="false"/>
          <w:bCs w:val="false"/>
          <w:color w:val="000000"/>
          <w:sz w:val="22"/>
          <w:szCs w:val="22"/>
        </w:rPr>
        <w:t>Elaborar um contrato detalhado que estabeleça as obrigações, responsabilidades, prazos, formas de pagamento, entre outros aspectos relevantes para a prestação do serviço.</w:t>
      </w:r>
    </w:p>
    <w:p>
      <w:pPr>
        <w:pStyle w:val="BodyText"/>
        <w:spacing w:lineRule="auto" w:line="360" w:before="0" w:after="0"/>
        <w:jc w:val="both"/>
        <w:rPr>
          <w:rFonts w:ascii="Verdana" w:hAnsi="Verdana"/>
          <w:b w:val="false"/>
          <w:bCs w:val="false"/>
          <w:sz w:val="22"/>
          <w:szCs w:val="22"/>
        </w:rPr>
      </w:pPr>
      <w:r>
        <w:rPr>
          <w:rFonts w:cs="Arial" w:ascii="Verdana" w:hAnsi="Verdana"/>
          <w:b w:val="false"/>
          <w:bCs w:val="false"/>
          <w:color w:val="000000"/>
          <w:sz w:val="22"/>
          <w:szCs w:val="22"/>
        </w:rPr>
        <w:t>14.2. Estabelecer mecanismos de acompanhamento e fiscalização do contrato para garantir o cumprimento dos termos acordados e a qualidade dos serviços prestados pela empresa contratada.</w:t>
      </w:r>
    </w:p>
    <w:p>
      <w:pPr>
        <w:pStyle w:val="Normal"/>
        <w:spacing w:lineRule="auto" w:line="360"/>
        <w:jc w:val="both"/>
        <w:rPr>
          <w:rFonts w:ascii="Verdana" w:hAnsi="Verdana" w:eastAsia="Times New Roman" w:cs="Arial"/>
          <w:b w:val="false"/>
          <w:bCs w:val="false"/>
          <w:i w:val="false"/>
          <w:i w:val="false"/>
          <w:caps w:val="false"/>
          <w:smallCaps w:val="false"/>
          <w:color w:val="auto"/>
          <w:spacing w:val="0"/>
          <w:kern w:val="0"/>
          <w:sz w:val="22"/>
          <w:szCs w:val="22"/>
          <w:lang w:val="pt-BR" w:eastAsia="zh-CN" w:bidi="ar-SA"/>
        </w:rPr>
      </w:pPr>
      <w:r>
        <w:rPr>
          <w:rFonts w:eastAsia="Times New Roman" w:cs="Arial" w:ascii="Verdana" w:hAnsi="Verdana"/>
          <w:b w:val="false"/>
          <w:bCs w:val="false"/>
          <w:i w:val="false"/>
          <w:caps w:val="false"/>
          <w:smallCaps w:val="false"/>
          <w:color w:val="000000"/>
          <w:spacing w:val="0"/>
          <w:kern w:val="0"/>
          <w:sz w:val="22"/>
          <w:szCs w:val="22"/>
          <w:lang w:val="pt-BR" w:eastAsia="zh-CN" w:bidi="ar-SA"/>
        </w:rPr>
        <w:t>14.3. Realizar o contrato de acordo com os procedimentos internos e legais.</w:t>
      </w:r>
    </w:p>
    <w:p>
      <w:pPr>
        <w:pStyle w:val="Normal"/>
        <w:spacing w:lineRule="auto" w:line="240"/>
        <w:jc w:val="both"/>
        <w:rPr>
          <w:rFonts w:ascii="Verdana" w:hAnsi="Verdana" w:cs="Arial"/>
          <w:b w:val="false"/>
          <w:bCs w:val="false"/>
          <w:sz w:val="22"/>
          <w:szCs w:val="22"/>
        </w:rPr>
      </w:pPr>
      <w:r>
        <w:rPr>
          <w:rFonts w:cs="Arial" w:ascii="Verdana" w:hAnsi="Verdana"/>
          <w:b w:val="false"/>
          <w:bCs w:val="false"/>
          <w:sz w:val="22"/>
          <w:szCs w:val="22"/>
        </w:rPr>
      </w:r>
    </w:p>
    <w:p>
      <w:pPr>
        <w:pStyle w:val="Normal"/>
        <w:spacing w:lineRule="auto" w:line="360"/>
        <w:jc w:val="both"/>
        <w:rPr>
          <w:rFonts w:ascii="Verdana" w:hAnsi="Verdana"/>
          <w:sz w:val="22"/>
          <w:szCs w:val="22"/>
        </w:rPr>
      </w:pPr>
      <w:r>
        <w:rPr>
          <w:rFonts w:cs="Arial" w:ascii="Verdana" w:hAnsi="Verdana"/>
          <w:b/>
          <w:sz w:val="22"/>
          <w:szCs w:val="22"/>
        </w:rPr>
        <w:t>15. DECLARAÇÕES DE VIABILIDADE</w:t>
      </w:r>
    </w:p>
    <w:p>
      <w:pPr>
        <w:pStyle w:val="Normal"/>
        <w:spacing w:lineRule="auto" w:line="360"/>
        <w:jc w:val="both"/>
        <w:rPr>
          <w:rFonts w:ascii="Verdana" w:hAnsi="Verdana" w:cs="Arial"/>
          <w:b w:val="false"/>
          <w:bCs w:val="false"/>
          <w:sz w:val="22"/>
          <w:szCs w:val="22"/>
        </w:rPr>
      </w:pPr>
      <w:r>
        <w:rPr>
          <w:rFonts w:cs="Arial" w:ascii="Verdana" w:hAnsi="Verdana"/>
          <w:b w:val="false"/>
          <w:bCs w:val="false"/>
          <w:sz w:val="22"/>
          <w:szCs w:val="22"/>
        </w:rPr>
        <w:t>15.1. Neste sentido, a equipe de planejamento deste ETP e de acordo com a autoridade deste requerente, declara viável esta contratação, com base nos elementos apresentados neste documento.</w:t>
      </w:r>
    </w:p>
    <w:p>
      <w:pPr>
        <w:pStyle w:val="Normal"/>
        <w:spacing w:lineRule="auto" w:line="360"/>
        <w:jc w:val="both"/>
        <w:rPr>
          <w:rFonts w:ascii="Verdana" w:hAnsi="Verdana" w:cs="Arial"/>
          <w:b w:val="false"/>
          <w:bCs w:val="false"/>
          <w:sz w:val="22"/>
          <w:szCs w:val="22"/>
        </w:rPr>
      </w:pPr>
      <w:r>
        <w:rPr>
          <w:rFonts w:cs="Arial" w:ascii="Verdana" w:hAnsi="Verdana"/>
          <w:b w:val="false"/>
          <w:bCs w:val="false"/>
          <w:sz w:val="22"/>
          <w:szCs w:val="22"/>
        </w:rPr>
      </w:r>
    </w:p>
    <w:p>
      <w:pPr>
        <w:pStyle w:val="Normal"/>
        <w:spacing w:lineRule="auto" w:line="360"/>
        <w:jc w:val="both"/>
        <w:rPr>
          <w:rFonts w:ascii="Verdana" w:hAnsi="Verdana" w:cs="Arial"/>
          <w:b w:val="false"/>
          <w:bCs w:val="false"/>
          <w:sz w:val="22"/>
          <w:szCs w:val="22"/>
        </w:rPr>
      </w:pPr>
      <w:r>
        <w:rPr>
          <w:rFonts w:cs="Arial" w:ascii="Verdana" w:hAnsi="Verdana"/>
          <w:b w:val="false"/>
          <w:bCs w:val="false"/>
          <w:sz w:val="22"/>
          <w:szCs w:val="22"/>
        </w:rPr>
      </w:r>
    </w:p>
    <w:p>
      <w:pPr>
        <w:pStyle w:val="Normal"/>
        <w:spacing w:lineRule="auto" w:line="360"/>
        <w:jc w:val="both"/>
        <w:rPr>
          <w:rFonts w:ascii="Verdana" w:hAnsi="Verdana" w:cs="Arial"/>
          <w:sz w:val="22"/>
          <w:szCs w:val="22"/>
        </w:rPr>
      </w:pPr>
      <w:r>
        <w:rPr>
          <w:rFonts w:cs="Arial" w:ascii="Verdana" w:hAnsi="Verdana"/>
          <w:sz w:val="22"/>
          <w:szCs w:val="22"/>
        </w:rPr>
      </w:r>
    </w:p>
    <w:p>
      <w:pPr>
        <w:pStyle w:val="Normal"/>
        <w:spacing w:lineRule="auto" w:line="360"/>
        <w:jc w:val="both"/>
        <w:rPr>
          <w:rFonts w:ascii="Verdana" w:hAnsi="Verdana"/>
          <w:sz w:val="22"/>
          <w:szCs w:val="22"/>
        </w:rPr>
      </w:pPr>
      <w:r>
        <w:rPr>
          <w:rFonts w:cs="Arial" w:ascii="Verdana" w:hAnsi="Verdana"/>
          <w:b/>
          <w:bCs/>
          <w:sz w:val="22"/>
          <w:szCs w:val="22"/>
        </w:rPr>
        <w:t xml:space="preserve">16. </w:t>
      </w:r>
      <w:r>
        <w:rPr>
          <w:rFonts w:cs="Arial" w:ascii="Verdana" w:hAnsi="Verdana"/>
          <w:b/>
          <w:sz w:val="22"/>
          <w:szCs w:val="22"/>
        </w:rPr>
        <w:t xml:space="preserve"> JUSTIFICATIVA DA VIABILIDADE</w:t>
      </w:r>
    </w:p>
    <w:p>
      <w:pPr>
        <w:pStyle w:val="Normal"/>
        <w:spacing w:lineRule="auto" w:line="360" w:before="0" w:after="0"/>
        <w:jc w:val="both"/>
        <w:rPr>
          <w:rFonts w:ascii="Verdana" w:hAnsi="Verdana" w:cs="Arial"/>
          <w:bCs/>
          <w:w w:val="95"/>
          <w:sz w:val="22"/>
          <w:szCs w:val="22"/>
        </w:rPr>
      </w:pPr>
      <w:r>
        <w:rPr>
          <w:rFonts w:cs="Arial" w:ascii="Verdana" w:hAnsi="Verdana"/>
          <w:bCs/>
          <w:w w:val="95"/>
          <w:sz w:val="22"/>
          <w:szCs w:val="22"/>
        </w:rPr>
        <w:t xml:space="preserve">16.1. </w:t>
      </w:r>
      <w:r>
        <w:rPr>
          <w:rFonts w:cs="Arial" w:ascii="Verdana" w:hAnsi="Verdana"/>
          <w:bCs/>
          <w:color w:val="000000"/>
          <w:w w:val="95"/>
          <w:sz w:val="22"/>
          <w:szCs w:val="22"/>
        </w:rPr>
        <w:t xml:space="preserve">A continuidade da obra, portanto, é </w:t>
      </w:r>
      <w:r>
        <w:rPr>
          <w:rStyle w:val="Strong"/>
          <w:rFonts w:cs="Arial" w:ascii="Verdana" w:hAnsi="Verdana"/>
          <w:b w:val="false"/>
          <w:bCs w:val="false"/>
          <w:color w:val="000000"/>
          <w:w w:val="95"/>
          <w:sz w:val="22"/>
          <w:szCs w:val="22"/>
        </w:rPr>
        <w:t>imprescindível para assegurar a regularidade do funcionamento do órgão público</w:t>
      </w:r>
      <w:r>
        <w:rPr>
          <w:rFonts w:cs="Arial" w:ascii="Verdana" w:hAnsi="Verdana"/>
          <w:bCs/>
          <w:color w:val="000000"/>
          <w:w w:val="95"/>
          <w:sz w:val="22"/>
          <w:szCs w:val="22"/>
        </w:rPr>
        <w:t>, evitando riscos à segurança dos usuários e paralisações das atividades legislativas.</w:t>
      </w:r>
    </w:p>
    <w:p>
      <w:pPr>
        <w:pStyle w:val="Normal"/>
        <w:spacing w:lineRule="auto" w:line="240" w:before="0" w:after="0"/>
        <w:jc w:val="both"/>
        <w:rPr>
          <w:rFonts w:ascii="Verdana" w:hAnsi="Verdana" w:cs="Arial"/>
          <w:bCs/>
          <w:color w:val="000000"/>
          <w:w w:val="95"/>
          <w:sz w:val="22"/>
          <w:szCs w:val="22"/>
        </w:rPr>
      </w:pPr>
      <w:r>
        <w:rPr>
          <w:rFonts w:cs="Arial" w:ascii="Verdana" w:hAnsi="Verdana"/>
          <w:bCs/>
          <w:color w:val="000000"/>
          <w:w w:val="95"/>
          <w:sz w:val="22"/>
          <w:szCs w:val="22"/>
        </w:rPr>
      </w:r>
    </w:p>
    <w:p>
      <w:pPr>
        <w:pStyle w:val="Normal"/>
        <w:suppressAutoHyphens w:val="false"/>
        <w:spacing w:lineRule="auto" w:line="360"/>
        <w:jc w:val="both"/>
        <w:rPr>
          <w:rFonts w:ascii="Verdana" w:hAnsi="Verdana"/>
          <w:sz w:val="22"/>
          <w:szCs w:val="22"/>
        </w:rPr>
      </w:pPr>
      <w:r>
        <w:rPr>
          <w:rFonts w:cs="Arial" w:ascii="Verdana" w:hAnsi="Verdana"/>
          <w:b/>
          <w:color w:val="000000"/>
          <w:sz w:val="22"/>
          <w:szCs w:val="22"/>
        </w:rPr>
        <w:t>17. POSSÍVEIS IMPACTOS AMBIENTAIS</w:t>
      </w:r>
    </w:p>
    <w:p>
      <w:pPr>
        <w:pStyle w:val="Normal"/>
        <w:spacing w:lineRule="auto" w:line="360"/>
        <w:jc w:val="both"/>
        <w:rPr>
          <w:rFonts w:ascii="Verdana" w:hAnsi="Verdana"/>
          <w:sz w:val="22"/>
          <w:szCs w:val="22"/>
        </w:rPr>
      </w:pPr>
      <w:r>
        <w:rPr>
          <w:rFonts w:ascii="Verdana" w:hAnsi="Verdana"/>
          <w:sz w:val="22"/>
          <w:szCs w:val="22"/>
        </w:rPr>
        <w:t>17.1. Não se verifica impactos ambientais da contratação.</w:t>
      </w:r>
    </w:p>
    <w:p>
      <w:pPr>
        <w:pStyle w:val="ListParagraph"/>
        <w:tabs>
          <w:tab w:val="clear" w:pos="708"/>
          <w:tab w:val="left" w:pos="965" w:leader="none"/>
          <w:tab w:val="left" w:pos="966" w:leader="none"/>
        </w:tabs>
        <w:spacing w:lineRule="auto" w:line="240" w:before="0" w:after="0"/>
        <w:ind w:hanging="0" w:left="0" w:right="0"/>
        <w:contextualSpacing w:val="false"/>
        <w:jc w:val="both"/>
        <w:rPr>
          <w:rFonts w:ascii="Verdana" w:hAnsi="Verdana"/>
          <w:sz w:val="22"/>
          <w:szCs w:val="22"/>
        </w:rPr>
      </w:pPr>
      <w:r>
        <w:rPr>
          <w:rFonts w:ascii="Verdana" w:hAnsi="Verdana"/>
          <w:sz w:val="22"/>
          <w:szCs w:val="22"/>
        </w:rPr>
      </w:r>
    </w:p>
    <w:p>
      <w:pPr>
        <w:pStyle w:val="Normal"/>
        <w:spacing w:lineRule="auto" w:line="360"/>
        <w:ind w:hanging="0" w:left="0" w:right="0"/>
        <w:jc w:val="both"/>
        <w:rPr>
          <w:rFonts w:ascii="Verdana" w:hAnsi="Verdana"/>
          <w:sz w:val="22"/>
          <w:szCs w:val="22"/>
        </w:rPr>
      </w:pPr>
      <w:r>
        <w:rPr>
          <w:rFonts w:ascii="Verdana" w:hAnsi="Verdana"/>
          <w:b/>
          <w:bCs/>
          <w:sz w:val="22"/>
          <w:szCs w:val="22"/>
        </w:rPr>
        <w:t xml:space="preserve">18. ADEQUAÇÃO ORÇAMENTÁRIA </w:t>
      </w:r>
    </w:p>
    <w:p>
      <w:pPr>
        <w:pStyle w:val="Normal"/>
        <w:spacing w:lineRule="auto" w:line="360"/>
        <w:ind w:hanging="0" w:left="0" w:right="0"/>
        <w:jc w:val="both"/>
        <w:rPr>
          <w:rFonts w:ascii="Verdana" w:hAnsi="Verdana"/>
          <w:sz w:val="22"/>
          <w:szCs w:val="22"/>
        </w:rPr>
      </w:pPr>
      <w:r>
        <w:rPr>
          <w:rFonts w:ascii="Verdana" w:hAnsi="Verdana"/>
          <w:sz w:val="22"/>
          <w:szCs w:val="22"/>
        </w:rPr>
        <w:t>18.1.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ind w:hanging="0" w:left="0" w:right="0"/>
        <w:jc w:val="both"/>
        <w:rPr>
          <w:rFonts w:ascii="Verdana" w:hAnsi="Verdana"/>
          <w:b w:val="false"/>
          <w:bCs w:val="false"/>
          <w:sz w:val="22"/>
          <w:szCs w:val="22"/>
        </w:rPr>
      </w:pPr>
      <w:r>
        <w:rPr>
          <w:rFonts w:ascii="Verdana" w:hAnsi="Verdana"/>
          <w:b w:val="false"/>
          <w:bCs w:val="false"/>
          <w:sz w:val="22"/>
          <w:szCs w:val="22"/>
        </w:rPr>
      </w:r>
    </w:p>
    <w:p>
      <w:pPr>
        <w:pStyle w:val="Normal"/>
        <w:spacing w:lineRule="auto" w:line="360"/>
        <w:jc w:val="both"/>
        <w:rPr>
          <w:b w:val="false"/>
          <w:bCs w:val="false"/>
        </w:rPr>
      </w:pPr>
      <w:r>
        <w:rPr>
          <w:rFonts w:ascii="Verdana" w:hAnsi="Verdana"/>
          <w:b w:val="false"/>
          <w:bCs w:val="false"/>
          <w:sz w:val="22"/>
          <w:szCs w:val="22"/>
        </w:rPr>
        <w:t>FICHA – FONTE: 00106-1500</w:t>
      </w:r>
      <w:r>
        <w:rPr>
          <w:rFonts w:eastAsia="Times New Roman" w:cs="Times New Roman" w:ascii="Verdana" w:hAnsi="Verdana"/>
          <w:b w:val="false"/>
          <w:bCs w:val="false"/>
          <w:sz w:val="22"/>
          <w:szCs w:val="22"/>
        </w:rPr>
        <w:t xml:space="preserve">0000000 no valor de R$ </w:t>
      </w:r>
      <w:r>
        <w:rPr>
          <w:rFonts w:eastAsia="Times New Roman" w:cs="Arial" w:ascii="Verdana" w:hAnsi="Verdana"/>
          <w:b w:val="false"/>
          <w:bCs w:val="false"/>
          <w:color w:val="000000"/>
          <w:kern w:val="0"/>
          <w:sz w:val="22"/>
          <w:szCs w:val="22"/>
          <w:lang w:val="pt-BR" w:eastAsia="pt-BR" w:bidi="ar-SA"/>
        </w:rPr>
        <w:t>2</w:t>
      </w:r>
      <w:r>
        <w:rPr>
          <w:rFonts w:eastAsia="Times New Roman" w:cs="Arial" w:ascii="Verdana" w:hAnsi="Verdana"/>
          <w:b w:val="false"/>
          <w:bCs w:val="false"/>
          <w:color w:val="000000"/>
          <w:kern w:val="0"/>
          <w:sz w:val="22"/>
          <w:szCs w:val="22"/>
          <w:lang w:val="pt-BR" w:eastAsia="pt-BR" w:bidi="ar-SA"/>
        </w:rPr>
        <w:t>36.536,09 (duzentos e trinta e seis mil quinhentos e trinta e seis reais e nove centavos)</w:t>
      </w:r>
    </w:p>
    <w:p>
      <w:pPr>
        <w:pStyle w:val="Normal"/>
        <w:spacing w:lineRule="auto" w:line="240"/>
        <w:jc w:val="both"/>
        <w:rPr>
          <w:rFonts w:ascii="Verdana" w:hAnsi="Verdana"/>
          <w:sz w:val="22"/>
          <w:szCs w:val="22"/>
        </w:rPr>
      </w:pPr>
      <w:r>
        <w:rPr>
          <w:rFonts w:ascii="Verdana" w:hAnsi="Verdana"/>
          <w:sz w:val="22"/>
          <w:szCs w:val="22"/>
        </w:rPr>
      </w:r>
    </w:p>
    <w:p>
      <w:pPr>
        <w:pStyle w:val="Normal"/>
        <w:spacing w:lineRule="auto" w:line="360"/>
        <w:jc w:val="both"/>
        <w:rPr>
          <w:rFonts w:ascii="Verdana" w:hAnsi="Verdana"/>
          <w:sz w:val="22"/>
          <w:szCs w:val="22"/>
        </w:rPr>
      </w:pPr>
      <w:r>
        <w:rPr>
          <w:rFonts w:cs="Arial" w:ascii="Verdana" w:hAnsi="Verdana"/>
          <w:b/>
          <w:bCs/>
          <w:color w:val="000000"/>
          <w:sz w:val="22"/>
          <w:szCs w:val="22"/>
        </w:rPr>
        <w:t>19. DOS RESPONSÁVEIS PELA ELABORAÇÃO DO TERMO DE REFERÊNCIA</w:t>
      </w:r>
    </w:p>
    <w:p>
      <w:pPr>
        <w:pStyle w:val="Normal"/>
        <w:spacing w:lineRule="auto" w:line="360"/>
        <w:jc w:val="both"/>
        <w:rPr>
          <w:rFonts w:ascii="Verdana" w:hAnsi="Verdana"/>
          <w:sz w:val="22"/>
          <w:szCs w:val="22"/>
        </w:rPr>
      </w:pPr>
      <w:r>
        <w:rPr>
          <w:rFonts w:cs="Arial" w:ascii="Verdana" w:hAnsi="Verdana"/>
          <w:b w:val="false"/>
          <w:bCs w:val="false"/>
          <w:color w:val="000000"/>
          <w:sz w:val="22"/>
          <w:szCs w:val="22"/>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pPr>
        <w:pStyle w:val="Normal"/>
        <w:spacing w:lineRule="auto" w:line="360"/>
        <w:jc w:val="both"/>
        <w:rPr>
          <w:rFonts w:ascii="Verdana" w:hAnsi="Verdana"/>
          <w:sz w:val="22"/>
          <w:szCs w:val="22"/>
        </w:rPr>
      </w:pPr>
      <w:r>
        <w:rPr>
          <w:rFonts w:cs="Arial" w:ascii="Verdana" w:hAnsi="Verdana"/>
          <w:b w:val="false"/>
          <w:bCs w:val="false"/>
          <w:color w:val="000000"/>
          <w:sz w:val="22"/>
          <w:szCs w:val="22"/>
        </w:rPr>
      </w:r>
    </w:p>
    <w:p>
      <w:pPr>
        <w:pStyle w:val="Normal"/>
        <w:spacing w:lineRule="auto" w:line="360"/>
        <w:jc w:val="both"/>
        <w:rPr>
          <w:rFonts w:ascii="Verdana" w:hAnsi="Verdana"/>
          <w:sz w:val="22"/>
          <w:szCs w:val="22"/>
        </w:rPr>
      </w:pPr>
      <w:r>
        <w:rPr>
          <w:rFonts w:cs="Arial" w:ascii="Verdana" w:hAnsi="Verdana"/>
          <w:b w:val="false"/>
          <w:bCs w:val="false"/>
          <w:color w:val="000000"/>
          <w:sz w:val="22"/>
          <w:szCs w:val="22"/>
        </w:rPr>
      </w:r>
    </w:p>
    <w:p>
      <w:pPr>
        <w:pStyle w:val="Normal"/>
        <w:spacing w:lineRule="auto" w:line="360"/>
        <w:jc w:val="right"/>
        <w:rPr>
          <w:rFonts w:ascii="Verdana" w:hAnsi="Verdana"/>
          <w:sz w:val="22"/>
          <w:szCs w:val="22"/>
        </w:rPr>
      </w:pPr>
      <w:r>
        <w:rPr>
          <w:rFonts w:ascii="Verdana" w:hAnsi="Verdana"/>
          <w:sz w:val="22"/>
          <w:szCs w:val="22"/>
        </w:rPr>
        <w:t xml:space="preserve">São Gabriel da Palha, </w:t>
      </w:r>
      <w:r>
        <w:rPr>
          <w:rFonts w:ascii="Verdana" w:hAnsi="Verdana"/>
          <w:sz w:val="22"/>
          <w:szCs w:val="22"/>
        </w:rPr>
        <w:t>14</w:t>
      </w:r>
      <w:r>
        <w:rPr>
          <w:rFonts w:ascii="Verdana" w:hAnsi="Verdana"/>
          <w:sz w:val="22"/>
          <w:szCs w:val="22"/>
        </w:rPr>
        <w:t xml:space="preserve"> de </w:t>
      </w:r>
      <w:r>
        <w:rPr>
          <w:rFonts w:ascii="Verdana" w:hAnsi="Verdana"/>
          <w:sz w:val="22"/>
          <w:szCs w:val="22"/>
        </w:rPr>
        <w:t>novembro</w:t>
      </w:r>
      <w:r>
        <w:rPr>
          <w:rFonts w:eastAsia="Times New Roman" w:cs="Times New Roman" w:ascii="Verdana" w:hAnsi="Verdana"/>
          <w:color w:val="000000"/>
          <w:sz w:val="22"/>
          <w:szCs w:val="22"/>
        </w:rPr>
        <w:t xml:space="preserve"> </w:t>
      </w:r>
      <w:r>
        <w:rPr>
          <w:rFonts w:ascii="Verdana" w:hAnsi="Verdana"/>
          <w:sz w:val="22"/>
          <w:szCs w:val="22"/>
        </w:rPr>
        <w:t>de 2025</w:t>
      </w:r>
    </w:p>
    <w:p>
      <w:pPr>
        <w:pStyle w:val="Normal"/>
        <w:spacing w:lineRule="auto" w:line="360"/>
        <w:jc w:val="both"/>
        <w:rPr>
          <w:rFonts w:ascii="Verdana" w:hAnsi="Verdana"/>
          <w:sz w:val="22"/>
          <w:szCs w:val="22"/>
        </w:rPr>
      </w:pPr>
      <w:r>
        <w:rPr>
          <w:rFonts w:cs="Arial" w:ascii="Verdana" w:hAnsi="Verdana"/>
          <w:b/>
          <w:bCs/>
          <w:sz w:val="22"/>
          <w:szCs w:val="22"/>
        </w:rPr>
      </w:r>
    </w:p>
    <w:p>
      <w:pPr>
        <w:pStyle w:val="Normal"/>
        <w:spacing w:lineRule="auto" w:line="360"/>
        <w:jc w:val="both"/>
        <w:rPr>
          <w:rFonts w:ascii="Verdana" w:hAnsi="Verdana"/>
          <w:sz w:val="22"/>
          <w:szCs w:val="22"/>
        </w:rPr>
      </w:pPr>
      <w:r>
        <w:rPr>
          <w:rFonts w:cs="Arial" w:ascii="Verdana" w:hAnsi="Verdana"/>
          <w:b/>
          <w:bCs/>
          <w:sz w:val="22"/>
          <w:szCs w:val="22"/>
        </w:rPr>
      </w:r>
    </w:p>
    <w:p>
      <w:pPr>
        <w:pStyle w:val="Normal"/>
        <w:spacing w:lineRule="auto" w:line="360"/>
        <w:jc w:val="both"/>
        <w:rPr>
          <w:rFonts w:ascii="Verdana" w:hAnsi="Verdana"/>
          <w:sz w:val="22"/>
          <w:szCs w:val="22"/>
        </w:rPr>
      </w:pPr>
      <w:r>
        <w:rPr>
          <w:rFonts w:cs="Arial" w:ascii="Verdana" w:hAnsi="Verdana"/>
          <w:b/>
          <w:bCs/>
          <w:sz w:val="22"/>
          <w:szCs w:val="22"/>
        </w:rPr>
        <w:t>Elaborado por:</w:t>
      </w:r>
    </w:p>
    <w:p>
      <w:pPr>
        <w:pStyle w:val="Normal"/>
        <w:spacing w:lineRule="auto" w:line="360"/>
        <w:jc w:val="both"/>
        <w:rPr>
          <w:rFonts w:ascii="Verdana" w:hAnsi="Verdana" w:cs="Arial"/>
          <w:b/>
          <w:bCs/>
          <w:sz w:val="22"/>
          <w:szCs w:val="22"/>
        </w:rPr>
      </w:pPr>
      <w:r>
        <w:rPr>
          <w:rFonts w:cs="Arial" w:ascii="Verdana" w:hAnsi="Verdana"/>
          <w:b/>
          <w:bCs/>
          <w:sz w:val="22"/>
          <w:szCs w:val="22"/>
        </w:rPr>
      </w:r>
    </w:p>
    <w:p>
      <w:pPr>
        <w:pStyle w:val="Normal"/>
        <w:spacing w:lineRule="auto" w:line="360"/>
        <w:jc w:val="both"/>
        <w:rPr>
          <w:rFonts w:ascii="Verdana" w:hAnsi="Verdana" w:cs="Arial"/>
          <w:b/>
          <w:bCs/>
          <w:sz w:val="22"/>
          <w:szCs w:val="22"/>
        </w:rPr>
      </w:pPr>
      <w:r>
        <w:rPr>
          <w:rFonts w:cs="Arial" w:ascii="Verdana" w:hAnsi="Verdana"/>
          <w:b/>
          <w:bCs/>
          <w:sz w:val="22"/>
          <w:szCs w:val="22"/>
        </w:rPr>
      </w:r>
    </w:p>
    <w:p>
      <w:pPr>
        <w:pStyle w:val="Normal"/>
        <w:spacing w:lineRule="auto" w:line="240"/>
        <w:rPr>
          <w:highlight w:val="none"/>
          <w:shd w:fill="auto" w:val="clear"/>
        </w:rPr>
      </w:pPr>
      <w:r>
        <w:rPr>
          <w:rFonts w:ascii="Verdana" w:hAnsi="Verdana"/>
          <w:sz w:val="22"/>
          <w:szCs w:val="22"/>
          <w:shd w:fill="auto" w:val="clear"/>
        </w:rPr>
        <w:t>RODOLFO ANTÔNIO DA SILVA NETO</w:t>
      </w:r>
    </w:p>
    <w:p>
      <w:pPr>
        <w:pStyle w:val="Normal"/>
        <w:spacing w:lineRule="auto" w:line="240"/>
        <w:rPr>
          <w:highlight w:val="none"/>
          <w:shd w:fill="auto" w:val="clear"/>
        </w:rPr>
      </w:pPr>
      <w:r>
        <w:rPr>
          <w:rFonts w:ascii="Verdana" w:hAnsi="Verdana"/>
          <w:sz w:val="22"/>
          <w:szCs w:val="22"/>
          <w:shd w:fill="auto" w:val="clear"/>
        </w:rPr>
        <w:t>Agente de Serviços Técnicos – Portaria n° 9.965/2025</w:t>
      </w:r>
    </w:p>
    <w:p>
      <w:pPr>
        <w:pStyle w:val="Normal"/>
        <w:spacing w:lineRule="auto" w:line="240"/>
        <w:jc w:val="both"/>
        <w:rPr>
          <w:highlight w:val="none"/>
          <w:shd w:fill="auto" w:val="clear"/>
        </w:rPr>
      </w:pPr>
      <w:r>
        <w:rPr>
          <w:rFonts w:cs="Arial" w:ascii="Verdana" w:hAnsi="Verdana"/>
          <w:b w:val="false"/>
          <w:bCs w:val="false"/>
          <w:sz w:val="22"/>
          <w:szCs w:val="22"/>
          <w:shd w:fill="auto" w:val="clear"/>
        </w:rPr>
        <w:t>Mat. nº 000406</w:t>
      </w:r>
    </w:p>
    <w:p>
      <w:pPr>
        <w:pStyle w:val="Normal"/>
        <w:spacing w:lineRule="auto" w:line="240"/>
        <w:jc w:val="both"/>
        <w:rPr>
          <w:rFonts w:ascii="Verdana" w:hAnsi="Verdana"/>
          <w:sz w:val="22"/>
          <w:szCs w:val="22"/>
          <w:highlight w:val="none"/>
          <w:shd w:fill="auto" w:val="clear"/>
        </w:rPr>
      </w:pPr>
      <w:r>
        <w:rPr>
          <w:rFonts w:ascii="Verdana" w:hAnsi="Verdana"/>
          <w:sz w:val="22"/>
          <w:szCs w:val="22"/>
          <w:shd w:fill="auto" w:val="clear"/>
        </w:rPr>
      </w:r>
    </w:p>
    <w:p>
      <w:pPr>
        <w:pStyle w:val="Normal"/>
        <w:spacing w:lineRule="auto" w:line="240"/>
        <w:jc w:val="both"/>
        <w:rPr>
          <w:rFonts w:ascii="Verdana" w:hAnsi="Verdana"/>
          <w:sz w:val="22"/>
          <w:szCs w:val="22"/>
          <w:highlight w:val="none"/>
          <w:shd w:fill="auto" w:val="clear"/>
        </w:rPr>
      </w:pPr>
      <w:r>
        <w:rPr>
          <w:rFonts w:ascii="Verdana" w:hAnsi="Verdana"/>
          <w:sz w:val="22"/>
          <w:szCs w:val="22"/>
          <w:shd w:fill="auto" w:val="clear"/>
        </w:rPr>
      </w:r>
    </w:p>
    <w:p>
      <w:pPr>
        <w:pStyle w:val="Normal"/>
        <w:spacing w:lineRule="auto" w:line="360"/>
        <w:jc w:val="both"/>
        <w:rPr>
          <w:rFonts w:ascii="Verdana" w:hAnsi="Verdana"/>
          <w:sz w:val="22"/>
          <w:szCs w:val="22"/>
          <w:highlight w:val="none"/>
          <w:shd w:fill="auto" w:val="clear"/>
        </w:rPr>
      </w:pPr>
      <w:r>
        <w:rPr>
          <w:rFonts w:ascii="Verdana" w:hAnsi="Verdana"/>
          <w:sz w:val="22"/>
          <w:szCs w:val="22"/>
          <w:shd w:fill="auto" w:val="clear"/>
        </w:rPr>
      </w:r>
    </w:p>
    <w:p>
      <w:pPr>
        <w:pStyle w:val="Normal"/>
        <w:spacing w:lineRule="auto" w:line="240"/>
        <w:jc w:val="both"/>
        <w:rPr>
          <w:rFonts w:ascii="Verdana" w:hAnsi="Verdana"/>
          <w:sz w:val="22"/>
          <w:szCs w:val="22"/>
        </w:rPr>
      </w:pPr>
      <w:r>
        <w:rPr>
          <w:rFonts w:cs="Arial" w:ascii="Verdana" w:hAnsi="Verdana"/>
          <w:b w:val="false"/>
          <w:bCs w:val="false"/>
          <w:sz w:val="22"/>
          <w:szCs w:val="22"/>
        </w:rPr>
        <w:t>RUTH BARBARA DA SILWA NASCIMENTO</w:t>
      </w:r>
    </w:p>
    <w:p>
      <w:pPr>
        <w:pStyle w:val="Normal"/>
        <w:spacing w:lineRule="auto" w:line="240"/>
        <w:jc w:val="both"/>
        <w:rPr>
          <w:rFonts w:ascii="Verdana" w:hAnsi="Verdana"/>
          <w:sz w:val="22"/>
          <w:szCs w:val="22"/>
        </w:rPr>
      </w:pPr>
      <w:r>
        <w:rPr>
          <w:rFonts w:cs="Arial" w:ascii="Verdana" w:hAnsi="Verdana"/>
          <w:b w:val="false"/>
          <w:bCs w:val="false"/>
          <w:sz w:val="22"/>
          <w:szCs w:val="22"/>
        </w:rPr>
        <w:t>Agente de Serviços Técnicos - Decreto n° 4.816/2025.</w:t>
      </w:r>
    </w:p>
    <w:p>
      <w:pPr>
        <w:pStyle w:val="Normal"/>
        <w:spacing w:lineRule="auto" w:line="240"/>
        <w:jc w:val="both"/>
        <w:rPr>
          <w:rFonts w:ascii="Verdana" w:hAnsi="Verdana"/>
          <w:sz w:val="22"/>
          <w:szCs w:val="22"/>
        </w:rPr>
      </w:pPr>
      <w:r>
        <w:rPr>
          <w:rFonts w:cs="Arial" w:ascii="Verdana" w:hAnsi="Verdana"/>
          <w:b w:val="false"/>
          <w:bCs w:val="false"/>
          <w:sz w:val="22"/>
          <w:szCs w:val="22"/>
        </w:rPr>
        <w:t>Mat. nº 002983</w:t>
      </w:r>
      <w:bookmarkStart w:id="2" w:name="art122%252525252525252525252525252525252"/>
      <w:bookmarkStart w:id="3" w:name="art116_Copia_1"/>
      <w:bookmarkEnd w:id="2"/>
      <w:bookmarkEnd w:id="3"/>
    </w:p>
    <w:p>
      <w:pPr>
        <w:pStyle w:val="Normal"/>
        <w:rPr>
          <w:rFonts w:ascii="Verdana" w:hAnsi="Verdana"/>
          <w:sz w:val="22"/>
          <w:szCs w:val="22"/>
        </w:rPr>
      </w:pPr>
      <w:r>
        <w:rPr>
          <w:rFonts w:ascii="Verdana" w:hAnsi="Verdana"/>
          <w:sz w:val="22"/>
          <w:szCs w:val="22"/>
        </w:rPr>
      </w:r>
      <w:bookmarkStart w:id="4" w:name="art122%252525252525252525252525252525251"/>
      <w:bookmarkStart w:id="5" w:name="_GoBack11_Copia_1"/>
      <w:bookmarkStart w:id="6" w:name="_GoBack1_Copia_1_Copia_1"/>
      <w:bookmarkStart w:id="7" w:name="_GoBack_Copia_1_Copia_1"/>
      <w:bookmarkStart w:id="8" w:name="art122%252525252525252525252525252525253"/>
      <w:bookmarkStart w:id="9" w:name="art122%252525252525252525252525252525251"/>
      <w:bookmarkStart w:id="10" w:name="_GoBack11_Copia_1"/>
      <w:bookmarkStart w:id="11" w:name="_GoBack1_Copia_1_Copia_1"/>
      <w:bookmarkStart w:id="12" w:name="_GoBack_Copia_1_Copia_1"/>
      <w:bookmarkStart w:id="13" w:name="art122%252525252525252525252525252525253"/>
      <w:bookmarkEnd w:id="9"/>
      <w:bookmarkEnd w:id="10"/>
      <w:bookmarkEnd w:id="11"/>
      <w:bookmarkEnd w:id="12"/>
      <w:bookmarkEnd w:id="13"/>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Ecofont_Spranq_eco_Sans">
    <w:charset w:val="00"/>
    <w:family w:val="roman"/>
    <w:pitch w:val="variable"/>
  </w:font>
  <w:font w:name="Courier New">
    <w:charset w:val="00"/>
    <w:family w:val="roman"/>
    <w:pitch w:val="variable"/>
  </w:font>
  <w:font w:name="Verdana">
    <w:charset w:val="00"/>
    <w:family w:val="swiss"/>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0">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20">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br/>
    </w:r>
    <w:r>
      <w:rPr>
        <w:rFonts w:ascii="Arial Narrow" w:hAnsi="Arial Narrow"/>
        <w:b/>
        <w:sz w:val="20"/>
      </w:rP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75"/>
  <w:defaultTabStop w:val="708"/>
  <w:autoHyphenation w:val="true"/>
  <w:hyphenationZone w:val="36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qFormat/>
    <w:pPr>
      <w:keepNext w:val="true"/>
      <w:keepLines/>
      <w:spacing w:before="480" w:after="0"/>
      <w:outlineLvl w:val="0"/>
    </w:pPr>
    <w:rPr>
      <w:rFonts w:ascii="Cambria" w:hAnsi="Cambria" w:eastAsia="Calibri" w:cs="Tahoma"/>
      <w:b/>
      <w:bCs/>
      <w:color w:themeColor="accent1" w:themeShade="bf" w:val="365F91"/>
      <w:sz w:val="28"/>
      <w:szCs w:val="28"/>
    </w:rPr>
  </w:style>
  <w:style w:type="paragraph" w:styleId="Heading2">
    <w:name w:val="heading 2"/>
    <w:basedOn w:val="LO-normal"/>
    <w:next w:val="LO-normal"/>
    <w:qFormat/>
    <w:pPr>
      <w:keepNext w:val="true"/>
      <w:keepLines/>
      <w:spacing w:lineRule="auto" w:line="360" w:before="240" w:after="240"/>
      <w:jc w:val="both"/>
    </w:pPr>
    <w:rPr>
      <w:b/>
    </w:rPr>
  </w:style>
  <w:style w:type="paragraph" w:styleId="Heading3">
    <w:name w:val="heading 3"/>
    <w:basedOn w:val="LO-normal"/>
    <w:next w:val="LO-normal"/>
    <w:qFormat/>
    <w:pPr>
      <w:keepNext w:val="true"/>
      <w:keepLines/>
    </w:pPr>
    <w:rPr>
      <w:i/>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Hyperlink">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themeColor="accent1" w:themeShade="bf" w:val="365F91"/>
      <w:sz w:val="28"/>
      <w:szCs w:val="28"/>
      <w:lang w:eastAsia="pt-BR"/>
    </w:rPr>
  </w:style>
  <w:style w:type="character" w:styleId="Marcadores">
    <w:name w:val="Marcadores"/>
    <w:qFormat/>
    <w:rPr>
      <w:rFonts w:ascii="OpenSymbol" w:hAnsi="OpenSymbol" w:eastAsia="OpenSymbol" w:cs="OpenSymbol"/>
    </w:rPr>
  </w:style>
  <w:style w:type="character" w:styleId="FollowedHyperlink">
    <w:name w:val="FollowedHyperlink"/>
    <w:rPr>
      <w:color w:val="800080"/>
      <w:u w:val="single"/>
    </w:rPr>
  </w:style>
  <w:style w:type="character" w:styleId="WW8Num9z0">
    <w:name w:val="WW8Num9z0"/>
    <w:qFormat/>
    <w:rPr>
      <w:b/>
      <w:bCs/>
    </w:rPr>
  </w:style>
  <w:style w:type="character" w:styleId="WW8Num10z0">
    <w:name w:val="WW8Num10z0"/>
    <w:qFormat/>
    <w:rPr>
      <w:b/>
      <w:bCs/>
    </w:rPr>
  </w:style>
  <w:style w:type="character" w:styleId="Hyperlink1">
    <w:name w:val="Hyperlink1"/>
    <w:qFormat/>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link w:val="CabealhoChar"/>
    <w:pPr>
      <w:tabs>
        <w:tab w:val="clear" w:pos="708"/>
        <w:tab w:val="center" w:pos="4419" w:leader="none"/>
        <w:tab w:val="right" w:pos="8838" w:leader="none"/>
      </w:tabs>
    </w:pPr>
    <w:rPr/>
  </w:style>
  <w:style w:type="paragraph" w:styleId="Footer">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hanging="0" w:left="720"/>
      <w:contextualSpacing/>
    </w:pPr>
    <w:rPr/>
  </w:style>
  <w:style w:type="paragraph" w:styleId="Tabelanormal1">
    <w:name w:val="Tabela normal1"/>
    <w:qFormat/>
    <w:pPr>
      <w:widowControl/>
      <w:suppressAutoHyphens w:val="true"/>
      <w:overflowPunct w:val="fals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Heading1"/>
    <w:next w:val="Normal"/>
    <w:link w:val="Nivel1Char"/>
    <w:qFormat/>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fals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 w:val="24"/>
      <w:szCs w:val="24"/>
    </w:rPr>
  </w:style>
  <w:style w:type="paragraph" w:styleId="LO-normal">
    <w:name w:val="LO-normal"/>
    <w:qFormat/>
    <w:pPr>
      <w:widowControl/>
      <w:suppressAutoHyphens w:val="true"/>
      <w:bidi w:val="0"/>
      <w:spacing w:lineRule="auto" w:line="360" w:before="240" w:after="240"/>
      <w:jc w:val="both"/>
    </w:pPr>
    <w:rPr>
      <w:rFonts w:ascii="Arial" w:hAnsi="Arial" w:eastAsia="Arial" w:cs="DejaVu Sans" w:asciiTheme="minorHAnsi" w:cstheme="minorBidi" w:eastAsiaTheme="minorHAnsi" w:hAnsiTheme="minorHAnsi"/>
      <w:color w:val="auto"/>
      <w:kern w:val="0"/>
      <w:sz w:val="22"/>
      <w:szCs w:val="22"/>
      <w:lang w:val="pt-BR" w:eastAsia="en-US" w:bidi="ar-SA"/>
    </w:rPr>
  </w:style>
  <w:style w:type="paragraph" w:styleId="WW-Textosimples">
    <w:name w:val="WW-Texto simples"/>
    <w:basedOn w:val="Normal"/>
    <w:qFormat/>
    <w:pPr/>
    <w:rPr>
      <w:rFonts w:ascii="Courier New" w:hAnsi="Courier New" w:cs="Courier New"/>
      <w:sz w:val="20"/>
    </w:rPr>
  </w:style>
  <w:style w:type="paragraph" w:styleId="Contedodoquadro">
    <w:name w:val="Conteúdo do quadro"/>
    <w:basedOn w:val="Normal"/>
    <w:qFormat/>
    <w:pPr/>
    <w:rPr/>
  </w:style>
  <w:style w:type="paragraph" w:styleId="caption4">
    <w:name w:val="caption4"/>
    <w:basedOn w:val="Normal"/>
    <w:qFormat/>
    <w:pPr>
      <w:suppressLineNumbers/>
      <w:spacing w:before="120" w:after="120"/>
    </w:pPr>
    <w:rPr>
      <w:rFonts w:cs="Lucida Sans"/>
      <w:i/>
      <w:iCs/>
      <w:szCs w:val="24"/>
    </w:rPr>
  </w:style>
  <w:style w:type="paragraph" w:styleId="Standard1">
    <w:name w:val="Standard1"/>
    <w:qFormat/>
    <w:pPr>
      <w:widowControl/>
      <w:suppressAutoHyphens w:val="true"/>
      <w:bidi w:val="0"/>
      <w:spacing w:before="0" w:after="0"/>
      <w:jc w:val="left"/>
      <w:textAlignment w:val="baseline"/>
    </w:pPr>
    <w:rPr>
      <w:rFonts w:ascii="Calibri" w:hAnsi="Calibri" w:eastAsia="Calibri" w:cs="Calibri"/>
      <w:color w:val="auto"/>
      <w:kern w:val="2"/>
      <w:sz w:val="24"/>
      <w:szCs w:val="24"/>
      <w:lang w:val="pt-BR" w:eastAsia="zh-CN" w:bidi="hi-IN"/>
    </w:rPr>
  </w:style>
  <w:style w:type="numbering" w:styleId="Semlista">
    <w:name w:val="Sem lista"/>
    <w:qFormat/>
  </w:style>
  <w:style w:type="numbering" w:styleId="WW8Num10">
    <w:name w:val="WW8Num10"/>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obras@saogabriel.es.gov.br"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882</TotalTime>
  <Application>LibreOffice/25.2.6.2$Windows_X86_64 LibreOffice_project/729c5bfe710f5eb71ed3bbde9e06a6065e9c6c5d</Application>
  <AppVersion>15.0000</AppVersion>
  <Pages>19</Pages>
  <Words>5894</Words>
  <Characters>34173</Characters>
  <CharactersWithSpaces>40030</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2025-03-27T12:04:13Z</cp:lastPrinted>
  <dcterms:modified xsi:type="dcterms:W3CDTF">2025-11-14T07:40:15Z</dcterms:modified>
  <cp:revision>157</cp:revision>
  <dc:subject/>
  <dc:title/>
</cp:coreProperties>
</file>

<file path=docProps/custom.xml><?xml version="1.0" encoding="utf-8"?>
<Properties xmlns="http://schemas.openxmlformats.org/officeDocument/2006/custom-properties" xmlns:vt="http://schemas.openxmlformats.org/officeDocument/2006/docPropsVTypes"/>
</file>